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FE384B" w14:textId="77777777" w:rsidR="003E75B8" w:rsidRPr="0058616A" w:rsidRDefault="003E75B8" w:rsidP="003E75B8">
      <w:pPr>
        <w:jc w:val="center"/>
        <w:rPr>
          <w:rFonts w:cstheme="minorHAnsi"/>
          <w:b/>
          <w:bCs/>
        </w:rPr>
      </w:pPr>
      <w:r w:rsidRPr="0058616A">
        <w:rPr>
          <w:rFonts w:cstheme="minorHAnsi"/>
          <w:b/>
          <w:bCs/>
          <w:noProof/>
        </w:rPr>
        <w:t>Financial Intermediaries</w:t>
      </w:r>
      <w:r w:rsidRPr="0058616A">
        <w:rPr>
          <w:rFonts w:cstheme="minorHAnsi"/>
          <w:b/>
          <w:bCs/>
        </w:rPr>
        <w:t>: BD Rural Water Supply, Sanitation and Hygiene for Human Capital Development Project (P169342)</w:t>
      </w:r>
    </w:p>
    <w:p w14:paraId="2DC27B99" w14:textId="77777777" w:rsidR="003E75B8" w:rsidRPr="0058616A" w:rsidRDefault="003E75B8" w:rsidP="003E75B8">
      <w:pPr>
        <w:jc w:val="center"/>
        <w:rPr>
          <w:rFonts w:cstheme="minorHAnsi"/>
          <w:b/>
        </w:rPr>
      </w:pPr>
    </w:p>
    <w:p w14:paraId="190C7B12" w14:textId="77777777" w:rsidR="003E75B8" w:rsidRPr="0058616A" w:rsidRDefault="003E75B8" w:rsidP="003E75B8">
      <w:pPr>
        <w:jc w:val="both"/>
        <w:rPr>
          <w:rFonts w:cstheme="minorHAnsi"/>
          <w:b/>
          <w:lang w:bidi="bn-BD"/>
        </w:rPr>
      </w:pPr>
      <w:r w:rsidRPr="0058616A">
        <w:rPr>
          <w:rFonts w:cstheme="minorHAnsi"/>
          <w:b/>
          <w:lang w:bidi="bn-BD"/>
        </w:rPr>
        <w:t>1.Macro-economic context</w:t>
      </w:r>
    </w:p>
    <w:p w14:paraId="0EDA16E4" w14:textId="77777777" w:rsidR="003E75B8" w:rsidRPr="0058616A" w:rsidRDefault="003E75B8" w:rsidP="003E75B8">
      <w:pPr>
        <w:autoSpaceDE w:val="0"/>
        <w:autoSpaceDN w:val="0"/>
        <w:adjustRightInd w:val="0"/>
        <w:spacing w:after="0" w:line="240" w:lineRule="auto"/>
        <w:jc w:val="both"/>
        <w:rPr>
          <w:rFonts w:cstheme="minorHAnsi"/>
        </w:rPr>
      </w:pPr>
      <w:r w:rsidRPr="0058616A">
        <w:rPr>
          <w:rFonts w:cstheme="minorHAnsi"/>
        </w:rPr>
        <w:t>The economy of Bangladesh has demonstrated remarkable resilience in the wake of the global financial crisis and a slump in global growth, attaining an average gross domestic product (GDP) growth rate of 6.5 percent since 2010, well above the average for developing countries –</w:t>
      </w:r>
      <w:r w:rsidRPr="0058616A">
        <w:rPr>
          <w:rFonts w:cstheme="minorHAnsi"/>
          <w:bCs/>
        </w:rPr>
        <w:t xml:space="preserve"> with an officially projected growth of 8.13 percent in fiscal year (FY) 2019, driven by manufacturing and construction</w:t>
      </w:r>
      <w:r w:rsidRPr="0058616A">
        <w:rPr>
          <w:rFonts w:cstheme="minorHAnsi"/>
        </w:rPr>
        <w:t>.  Progress on reducing extreme poverty and boosting shared prosperity through human development and employment generation has continued with the poverty incidence</w:t>
      </w:r>
      <w:r w:rsidRPr="0058616A">
        <w:rPr>
          <w:rStyle w:val="FootnoteReference"/>
          <w:rFonts w:cstheme="minorHAnsi"/>
        </w:rPr>
        <w:footnoteReference w:id="1"/>
      </w:r>
      <w:r w:rsidRPr="0058616A">
        <w:rPr>
          <w:rFonts w:cstheme="minorHAnsi"/>
        </w:rPr>
        <w:t xml:space="preserve"> declining from 48.9 percent in 2000 to 24.3 percent in 2016 (latest available poverty data) and a projected 20.5 percent in 2019.  With per capita gross national income US$</w:t>
      </w:r>
      <w:r w:rsidRPr="0058616A">
        <w:rPr>
          <w:rFonts w:cstheme="minorHAnsi"/>
          <w:bCs/>
        </w:rPr>
        <w:t xml:space="preserve"> US$</w:t>
      </w:r>
      <w:r w:rsidR="00327F79" w:rsidRPr="0058616A">
        <w:rPr>
          <w:rFonts w:cstheme="minorHAnsi"/>
          <w:bCs/>
        </w:rPr>
        <w:t xml:space="preserve">1,751 </w:t>
      </w:r>
      <w:r w:rsidR="00327F79" w:rsidRPr="0058616A">
        <w:rPr>
          <w:rFonts w:cstheme="minorHAnsi"/>
        </w:rPr>
        <w:t>in</w:t>
      </w:r>
      <w:r w:rsidRPr="0058616A">
        <w:rPr>
          <w:rFonts w:cstheme="minorHAnsi"/>
        </w:rPr>
        <w:t xml:space="preserve"> 2018, it is well above the lower </w:t>
      </w:r>
      <w:r w:rsidR="00327F79" w:rsidRPr="0058616A">
        <w:rPr>
          <w:rFonts w:cstheme="minorHAnsi"/>
        </w:rPr>
        <w:t>middle-income</w:t>
      </w:r>
      <w:r w:rsidRPr="0058616A">
        <w:rPr>
          <w:rFonts w:cstheme="minorHAnsi"/>
        </w:rPr>
        <w:t xml:space="preserve"> country category threshold which it crossed in FY14.  Economic growth has been accompanied by a growing labor force, rapid urbanization, and an overarching need for job creation – that has led the country through a structural shift from traditional agriculture towards industry and the service sectors.  Recent economic conditions have improved further with headline inflation declining to 5.9 percent in FY16 from 7.3 percent in FY14, while the fiscal deficit was contained at around 3.1 percent of GDP in FY16.</w:t>
      </w:r>
    </w:p>
    <w:p w14:paraId="5FACE8E4" w14:textId="77777777" w:rsidR="003E75B8" w:rsidRPr="0058616A" w:rsidRDefault="003E75B8" w:rsidP="003E75B8">
      <w:pPr>
        <w:autoSpaceDE w:val="0"/>
        <w:autoSpaceDN w:val="0"/>
        <w:adjustRightInd w:val="0"/>
        <w:spacing w:after="0" w:line="240" w:lineRule="auto"/>
        <w:jc w:val="both"/>
        <w:rPr>
          <w:rFonts w:cstheme="minorHAnsi"/>
        </w:rPr>
      </w:pPr>
    </w:p>
    <w:p w14:paraId="076F5849" w14:textId="77777777" w:rsidR="003E75B8" w:rsidRPr="0058616A" w:rsidRDefault="003E75B8" w:rsidP="003E75B8">
      <w:pPr>
        <w:jc w:val="both"/>
        <w:rPr>
          <w:rFonts w:cstheme="minorHAnsi"/>
        </w:rPr>
      </w:pPr>
      <w:r w:rsidRPr="0058616A">
        <w:rPr>
          <w:rFonts w:cstheme="minorHAnsi"/>
        </w:rPr>
        <w:t>Bank lending and savings rates have declined constantly since 2013.  The average spread – the difference between the weighted average lending rate and deposit rate – has been stable between 3.90-4.50 percent since June 2018 to January 2020.  As of end-January 2020, the average savings rate was 5.69 percent and the average lending rate was 9.66 percent</w:t>
      </w:r>
      <w:r w:rsidRPr="0058616A">
        <w:rPr>
          <w:rStyle w:val="FootnoteReference"/>
          <w:rFonts w:cstheme="minorHAnsi"/>
        </w:rPr>
        <w:footnoteReference w:id="2"/>
      </w:r>
      <w:r w:rsidRPr="0058616A">
        <w:rPr>
          <w:rFonts w:cstheme="minorHAnsi"/>
        </w:rPr>
        <w:t>.</w:t>
      </w:r>
    </w:p>
    <w:p w14:paraId="559A99BF" w14:textId="77777777" w:rsidR="003E75B8" w:rsidRPr="0058616A" w:rsidRDefault="003E75B8" w:rsidP="003E75B8">
      <w:pPr>
        <w:jc w:val="both"/>
        <w:rPr>
          <w:rFonts w:cstheme="minorHAnsi"/>
          <w:b/>
        </w:rPr>
      </w:pPr>
      <w:r w:rsidRPr="0058616A">
        <w:rPr>
          <w:rFonts w:cstheme="minorHAnsi"/>
          <w:b/>
        </w:rPr>
        <w:t>2. Financial Sector Context</w:t>
      </w:r>
    </w:p>
    <w:p w14:paraId="27091B31" w14:textId="77777777" w:rsidR="003E75B8" w:rsidRPr="0058616A" w:rsidRDefault="003E75B8" w:rsidP="003E75B8">
      <w:pPr>
        <w:autoSpaceDE w:val="0"/>
        <w:autoSpaceDN w:val="0"/>
        <w:adjustRightInd w:val="0"/>
        <w:spacing w:after="0" w:line="240" w:lineRule="auto"/>
        <w:jc w:val="both"/>
        <w:rPr>
          <w:rFonts w:cstheme="minorHAnsi"/>
        </w:rPr>
      </w:pPr>
      <w:r w:rsidRPr="0058616A">
        <w:rPr>
          <w:rFonts w:cstheme="minorHAnsi"/>
          <w:bCs/>
        </w:rPr>
        <w:t>Bangladesh’s financial sector consists of the banking sector, world class microfinance institutions (MFIs), nonbank financial institutions, a capital market and an insurance sector</w:t>
      </w:r>
      <w:r w:rsidRPr="0058616A">
        <w:rPr>
          <w:rFonts w:cstheme="minorHAnsi"/>
        </w:rPr>
        <w:t>.  As in most economies, banks dominate the financial sector in Bangladesh with more than 55 percent of total assets, the capital market and the insurance sectors account for 40 and 3 percent of total formal financial sector assets, respectively. These are also equivalent to their share as a percentage of GDP.</w:t>
      </w:r>
    </w:p>
    <w:p w14:paraId="2364E25F" w14:textId="77777777" w:rsidR="003E75B8" w:rsidRPr="0058616A" w:rsidRDefault="003E75B8" w:rsidP="003E75B8">
      <w:pPr>
        <w:autoSpaceDE w:val="0"/>
        <w:autoSpaceDN w:val="0"/>
        <w:adjustRightInd w:val="0"/>
        <w:spacing w:after="0" w:line="240" w:lineRule="auto"/>
        <w:jc w:val="both"/>
        <w:rPr>
          <w:rFonts w:cstheme="minorHAnsi"/>
        </w:rPr>
      </w:pPr>
    </w:p>
    <w:p w14:paraId="704D197F" w14:textId="77777777" w:rsidR="003E75B8" w:rsidRPr="0058616A" w:rsidRDefault="003E75B8" w:rsidP="003E75B8">
      <w:pPr>
        <w:autoSpaceDE w:val="0"/>
        <w:autoSpaceDN w:val="0"/>
        <w:adjustRightInd w:val="0"/>
        <w:spacing w:after="0" w:line="240" w:lineRule="auto"/>
        <w:jc w:val="both"/>
        <w:rPr>
          <w:rFonts w:cstheme="minorHAnsi"/>
        </w:rPr>
      </w:pPr>
      <w:r w:rsidRPr="0058616A">
        <w:rPr>
          <w:rFonts w:cstheme="minorHAnsi"/>
        </w:rPr>
        <w:t>The regulation and supervision of financial institutions is undertaken by several regulators including Bangladesh Bank (the banking sector), the Securities and Exchange Commission (SEC) of Bangladesh (the stock market), the Insurance Development and Regulatory Authority (IDRA) (insurance companies), and the Microcredit Regulatory Authority (MRA) (microfinance).</w:t>
      </w:r>
    </w:p>
    <w:p w14:paraId="58D805CF" w14:textId="77777777" w:rsidR="003E75B8" w:rsidRPr="0058616A" w:rsidRDefault="003E75B8" w:rsidP="003E75B8">
      <w:pPr>
        <w:autoSpaceDE w:val="0"/>
        <w:autoSpaceDN w:val="0"/>
        <w:adjustRightInd w:val="0"/>
        <w:spacing w:after="0" w:line="240" w:lineRule="auto"/>
        <w:jc w:val="both"/>
        <w:rPr>
          <w:rFonts w:cstheme="minorHAnsi"/>
        </w:rPr>
      </w:pPr>
    </w:p>
    <w:p w14:paraId="7263CCF5" w14:textId="77777777" w:rsidR="003E75B8" w:rsidRPr="0058616A" w:rsidRDefault="003E75B8" w:rsidP="003E75B8">
      <w:pPr>
        <w:autoSpaceDE w:val="0"/>
        <w:autoSpaceDN w:val="0"/>
        <w:adjustRightInd w:val="0"/>
        <w:spacing w:after="0" w:line="240" w:lineRule="auto"/>
        <w:jc w:val="both"/>
        <w:rPr>
          <w:rFonts w:cstheme="minorHAnsi"/>
        </w:rPr>
      </w:pPr>
      <w:r w:rsidRPr="0058616A">
        <w:rPr>
          <w:rFonts w:cstheme="minorHAnsi"/>
        </w:rPr>
        <w:t>The MRA was established under the Microcredit Regulatory Authority Act 2006, to ensure transparency and accountability in the microfinance sector, and promote the sustainable and inclusive development of the microfinance sector.  The MRA is the central body that is responsible for licensing, monitoring and supervising the operations of non-governmental microfinance institutions (NG-MFIs). The MRA undertakes on-site and off-site supervision.  To maintain their license, NG-MFIs are required to comply with MRA regulations.  To this effect, NG-MFIs are required to submit annual audited reports, semi-annual MIS reports and monthly reports on selected indicators.</w:t>
      </w:r>
    </w:p>
    <w:p w14:paraId="79BACF62" w14:textId="77777777" w:rsidR="003E75B8" w:rsidRPr="0058616A" w:rsidRDefault="003E75B8" w:rsidP="003E75B8">
      <w:pPr>
        <w:autoSpaceDE w:val="0"/>
        <w:autoSpaceDN w:val="0"/>
        <w:adjustRightInd w:val="0"/>
        <w:spacing w:after="0" w:line="240" w:lineRule="auto"/>
        <w:jc w:val="both"/>
        <w:rPr>
          <w:rFonts w:cstheme="minorHAnsi"/>
        </w:rPr>
      </w:pPr>
    </w:p>
    <w:p w14:paraId="0EB2D086" w14:textId="77777777" w:rsidR="003E75B8" w:rsidRPr="0058616A" w:rsidRDefault="003E75B8" w:rsidP="003E75B8">
      <w:pPr>
        <w:autoSpaceDE w:val="0"/>
        <w:autoSpaceDN w:val="0"/>
        <w:adjustRightInd w:val="0"/>
        <w:spacing w:after="0" w:line="240" w:lineRule="auto"/>
        <w:jc w:val="both"/>
        <w:rPr>
          <w:rFonts w:cstheme="minorHAnsi"/>
        </w:rPr>
      </w:pPr>
      <w:r w:rsidRPr="0058616A">
        <w:rPr>
          <w:rFonts w:cstheme="minorHAnsi"/>
        </w:rPr>
        <w:t>As of end-June 2018, there were a total of 31.2 million clients in the 702 licensed NGO-MFIs providing microfinance services through 18,196 branches.  Over the past five years, total loans outstanding have more than doubled to reach BDT</w:t>
      </w:r>
      <w:r w:rsidRPr="0058616A">
        <w:rPr>
          <w:rStyle w:val="FootnoteReference"/>
          <w:rFonts w:cstheme="minorHAnsi"/>
        </w:rPr>
        <w:footnoteReference w:id="3"/>
      </w:r>
      <w:r w:rsidRPr="0058616A">
        <w:rPr>
          <w:rFonts w:cstheme="minorHAnsi"/>
        </w:rPr>
        <w:t xml:space="preserve"> 673.90 billion (US$ 7.93 billion).  Cumulative savings amount to BDT 262.95 billion (US$ 3.09 billion), and total loan disbursed amount to BDT 1201.91 billion (US$ 14.14 billion).  The loan recovery rate was 96 percent according to the MRA.  The microfinance sector is highly concentrated, dominated by four NGO-MFIs, namely ASA, BRAC, BURO, and TMSS, which with Grameen account for about 64 percent of the MFI market.  Their relative share has, however, recently declined.</w:t>
      </w:r>
    </w:p>
    <w:p w14:paraId="7CF66A23" w14:textId="77777777" w:rsidR="003E75B8" w:rsidRPr="0058616A" w:rsidRDefault="003E75B8" w:rsidP="003E75B8">
      <w:pPr>
        <w:autoSpaceDE w:val="0"/>
        <w:autoSpaceDN w:val="0"/>
        <w:adjustRightInd w:val="0"/>
        <w:spacing w:after="0" w:line="240" w:lineRule="auto"/>
        <w:jc w:val="both"/>
        <w:rPr>
          <w:rFonts w:cstheme="minorHAnsi"/>
        </w:rPr>
      </w:pPr>
    </w:p>
    <w:p w14:paraId="1452A92B" w14:textId="77777777" w:rsidR="003E75B8" w:rsidRPr="0058616A" w:rsidRDefault="003E75B8" w:rsidP="003E75B8">
      <w:pPr>
        <w:autoSpaceDE w:val="0"/>
        <w:autoSpaceDN w:val="0"/>
        <w:adjustRightInd w:val="0"/>
        <w:spacing w:after="0" w:line="240" w:lineRule="auto"/>
        <w:jc w:val="both"/>
        <w:rPr>
          <w:rFonts w:cstheme="minorHAnsi"/>
        </w:rPr>
      </w:pPr>
      <w:r w:rsidRPr="0058616A">
        <w:rPr>
          <w:rFonts w:cstheme="minorHAnsi"/>
        </w:rPr>
        <w:t>At the reporting time MRA has set an interest ceiling of 27 percent for general microfinance lending which is now 24 percent for general microfinance.  However, in practice, over 90 percent of loans charge an interest rate of 25 percent or below, with some institutions charging rates as low as 20 percent.  Hence the ceiling does not appear to be a binding constraint.</w:t>
      </w:r>
    </w:p>
    <w:p w14:paraId="42309230" w14:textId="77777777" w:rsidR="003E75B8" w:rsidRPr="0058616A" w:rsidRDefault="003E75B8" w:rsidP="003E75B8">
      <w:pPr>
        <w:autoSpaceDE w:val="0"/>
        <w:autoSpaceDN w:val="0"/>
        <w:adjustRightInd w:val="0"/>
        <w:spacing w:after="0" w:line="240" w:lineRule="auto"/>
        <w:jc w:val="both"/>
        <w:rPr>
          <w:rFonts w:cstheme="minorHAnsi"/>
        </w:rPr>
      </w:pPr>
    </w:p>
    <w:p w14:paraId="5C6524C9" w14:textId="77777777" w:rsidR="003E75B8" w:rsidRPr="0058616A" w:rsidRDefault="003E75B8" w:rsidP="003E75B8">
      <w:pPr>
        <w:autoSpaceDE w:val="0"/>
        <w:autoSpaceDN w:val="0"/>
        <w:adjustRightInd w:val="0"/>
        <w:spacing w:after="0" w:line="240" w:lineRule="auto"/>
        <w:jc w:val="both"/>
        <w:rPr>
          <w:rFonts w:cstheme="minorHAnsi"/>
        </w:rPr>
      </w:pPr>
      <w:r w:rsidRPr="0058616A">
        <w:rPr>
          <w:rFonts w:cstheme="minorHAnsi"/>
        </w:rPr>
        <w:t>About sources of funding, savings represent the largest source of funding, with a stable share of 35.4 percent.  The share of funding represented by cumulative surpluses (34.8%) and bank loans (20.5%) has steadily increased, as the role of Palli Karma Sahayak Foundation (PKSF, the apex organization) and donors (as major funders) has progressively diminished.</w:t>
      </w:r>
    </w:p>
    <w:p w14:paraId="2F411BB2" w14:textId="77777777" w:rsidR="003E75B8" w:rsidRPr="0058616A" w:rsidRDefault="003E75B8" w:rsidP="003E75B8">
      <w:pPr>
        <w:autoSpaceDE w:val="0"/>
        <w:autoSpaceDN w:val="0"/>
        <w:adjustRightInd w:val="0"/>
        <w:spacing w:after="0" w:line="240" w:lineRule="auto"/>
        <w:jc w:val="both"/>
        <w:rPr>
          <w:rFonts w:cstheme="minorHAnsi"/>
        </w:rPr>
      </w:pPr>
    </w:p>
    <w:p w14:paraId="6FD04BFC" w14:textId="77777777" w:rsidR="003E75B8" w:rsidRPr="0058616A" w:rsidRDefault="003E75B8" w:rsidP="003E75B8">
      <w:pPr>
        <w:widowControl w:val="0"/>
        <w:autoSpaceDE w:val="0"/>
        <w:autoSpaceDN w:val="0"/>
        <w:adjustRightInd w:val="0"/>
        <w:spacing w:after="0" w:line="240" w:lineRule="auto"/>
        <w:contextualSpacing/>
        <w:jc w:val="both"/>
        <w:rPr>
          <w:rFonts w:cstheme="minorHAnsi"/>
          <w:noProof/>
        </w:rPr>
      </w:pPr>
      <w:r w:rsidRPr="0058616A">
        <w:rPr>
          <w:rFonts w:cstheme="minorHAnsi"/>
          <w:b/>
        </w:rPr>
        <w:t>3.  Project Summary</w:t>
      </w:r>
    </w:p>
    <w:p w14:paraId="24FFF7F6" w14:textId="231C0E6D" w:rsidR="003E75B8" w:rsidRPr="0058616A" w:rsidRDefault="003E75B8" w:rsidP="003E75B8">
      <w:pPr>
        <w:widowControl w:val="0"/>
        <w:autoSpaceDE w:val="0"/>
        <w:autoSpaceDN w:val="0"/>
        <w:adjustRightInd w:val="0"/>
        <w:spacing w:after="0" w:line="240" w:lineRule="auto"/>
        <w:contextualSpacing/>
        <w:jc w:val="both"/>
        <w:rPr>
          <w:rFonts w:cstheme="minorHAnsi"/>
          <w:bCs/>
        </w:rPr>
      </w:pPr>
      <w:r w:rsidRPr="0058616A">
        <w:rPr>
          <w:rFonts w:cstheme="minorHAnsi"/>
          <w:noProof/>
        </w:rPr>
        <w:t xml:space="preserve">The project development objective is </w:t>
      </w:r>
      <w:r w:rsidR="00866E06" w:rsidRPr="0058616A">
        <w:rPr>
          <w:rFonts w:cstheme="minorHAnsi"/>
          <w:noProof/>
        </w:rPr>
        <w:t>to (</w:t>
      </w:r>
      <w:r w:rsidRPr="0058616A">
        <w:rPr>
          <w:rFonts w:cstheme="minorHAnsi"/>
          <w:bCs/>
        </w:rPr>
        <w:t xml:space="preserve">i) improve access to ‘safely-managed’ water supply and sanitation in selected areas of rural Bangladesh; and (ii) strengthen sector institutional capacity for water and sanitation.  </w:t>
      </w:r>
    </w:p>
    <w:p w14:paraId="0AD86420" w14:textId="5CB6AEB9" w:rsidR="003E75B8" w:rsidRPr="0058616A" w:rsidRDefault="003E75B8" w:rsidP="003E75B8">
      <w:pPr>
        <w:rPr>
          <w:rFonts w:cstheme="minorHAnsi"/>
          <w:bCs/>
        </w:rPr>
      </w:pPr>
      <w:r w:rsidRPr="0058616A">
        <w:rPr>
          <w:rFonts w:cstheme="minorHAnsi"/>
          <w:bCs/>
        </w:rPr>
        <w:t xml:space="preserve">The focus would be on strengthening of sector institutions to help implement the national WASH policies, investing in WASH infrastructures that meet the ‘safely-managed’ services in line with SDG 6.1 and 6.2 in selected rural areas, and changing hygiene behaviors so that WASH infrastructures are properly used. </w:t>
      </w:r>
    </w:p>
    <w:p w14:paraId="6759CB24" w14:textId="7AD31F68" w:rsidR="00492663" w:rsidRPr="0058616A" w:rsidRDefault="00492663" w:rsidP="003E75B8">
      <w:pPr>
        <w:rPr>
          <w:rFonts w:cstheme="minorHAnsi"/>
          <w:bCs/>
        </w:rPr>
      </w:pPr>
      <w:r w:rsidRPr="0058616A">
        <w:rPr>
          <w:rFonts w:cstheme="minorHAnsi"/>
          <w:iCs/>
        </w:rPr>
        <w:t xml:space="preserve">Department for Public Health and Engineering (DPHE) and </w:t>
      </w:r>
      <w:r w:rsidRPr="0058616A">
        <w:rPr>
          <w:rFonts w:cstheme="minorHAnsi"/>
          <w:bCs/>
        </w:rPr>
        <w:t xml:space="preserve">Palli Karma-Sahayak Foundation (PKSF) will be the implementing agencies of the project. </w:t>
      </w:r>
      <w:r w:rsidRPr="0058616A">
        <w:rPr>
          <w:rFonts w:cstheme="minorHAnsi"/>
        </w:rPr>
        <w:t xml:space="preserve"> </w:t>
      </w:r>
    </w:p>
    <w:p w14:paraId="6C815279" w14:textId="7C9BBC90" w:rsidR="00C9377F" w:rsidRPr="0058616A" w:rsidRDefault="00C9377F" w:rsidP="003E75B8">
      <w:pPr>
        <w:contextualSpacing/>
        <w:rPr>
          <w:rFonts w:cstheme="minorHAnsi"/>
          <w:bCs/>
        </w:rPr>
      </w:pPr>
      <w:r w:rsidRPr="0058616A">
        <w:rPr>
          <w:rFonts w:cstheme="minorHAnsi"/>
          <w:color w:val="333333"/>
        </w:rPr>
        <w:t>To achieve the objectives, the project will support six components, financed by the Government of Bangladesh (GoB),</w:t>
      </w:r>
      <w:r w:rsidR="002F7764" w:rsidRPr="0058616A">
        <w:rPr>
          <w:rFonts w:cstheme="minorHAnsi"/>
          <w:color w:val="333333"/>
        </w:rPr>
        <w:t xml:space="preserve"> </w:t>
      </w:r>
      <w:r w:rsidR="002F7764" w:rsidRPr="0058616A">
        <w:rPr>
          <w:rFonts w:cstheme="minorHAnsi"/>
        </w:rPr>
        <w:t>Asian Infrastructure Investment Bank (</w:t>
      </w:r>
      <w:r w:rsidRPr="0058616A">
        <w:rPr>
          <w:rFonts w:cstheme="minorHAnsi"/>
          <w:color w:val="333333"/>
        </w:rPr>
        <w:t>AIIB</w:t>
      </w:r>
      <w:r w:rsidR="002F7764" w:rsidRPr="0058616A">
        <w:rPr>
          <w:rFonts w:cstheme="minorHAnsi"/>
          <w:color w:val="333333"/>
        </w:rPr>
        <w:t>)</w:t>
      </w:r>
      <w:r w:rsidRPr="0058616A">
        <w:rPr>
          <w:rFonts w:cstheme="minorHAnsi"/>
          <w:color w:val="333333"/>
        </w:rPr>
        <w:t xml:space="preserve">, and World Bank. Pursuant to a Project Co-lenders’ Agreement with the AIIB, the World Bank will supervise the project and administer both IDA and AIIB loans in accordance with the World Bank’s policies and procedures. </w:t>
      </w:r>
      <w:r w:rsidR="002643EE" w:rsidRPr="0058616A">
        <w:rPr>
          <w:rFonts w:cstheme="minorHAnsi"/>
          <w:bCs/>
        </w:rPr>
        <w:t>The total cost of the project is US$ 550.5 million; IDA finance US$200 million, Asian Infrastructure Investment Bank (AIIB), US$200</w:t>
      </w:r>
      <w:r w:rsidR="00E0255F" w:rsidRPr="0058616A">
        <w:rPr>
          <w:rFonts w:cstheme="minorHAnsi"/>
          <w:bCs/>
        </w:rPr>
        <w:t xml:space="preserve"> million. </w:t>
      </w:r>
      <w:r w:rsidRPr="0058616A">
        <w:rPr>
          <w:rFonts w:cstheme="minorHAnsi"/>
          <w:color w:val="333333"/>
        </w:rPr>
        <w:t xml:space="preserve">The AIIB and World Bank will jointly </w:t>
      </w:r>
      <w:r w:rsidR="002D7145" w:rsidRPr="0058616A">
        <w:rPr>
          <w:rFonts w:cstheme="minorHAnsi"/>
          <w:color w:val="333333"/>
        </w:rPr>
        <w:t>finance the</w:t>
      </w:r>
      <w:r w:rsidRPr="0058616A">
        <w:rPr>
          <w:rFonts w:cstheme="minorHAnsi"/>
          <w:color w:val="333333"/>
        </w:rPr>
        <w:t xml:space="preserve"> project in equal shares, with all components financed jointly. The GoB </w:t>
      </w:r>
      <w:r w:rsidR="00E0255F" w:rsidRPr="0058616A">
        <w:rPr>
          <w:rFonts w:cstheme="minorHAnsi"/>
          <w:color w:val="333333"/>
        </w:rPr>
        <w:t xml:space="preserve">will </w:t>
      </w:r>
      <w:r w:rsidRPr="0058616A">
        <w:rPr>
          <w:rFonts w:cstheme="minorHAnsi"/>
          <w:color w:val="333333"/>
        </w:rPr>
        <w:t>provide US$150.5 million in counterpart funding. Items not eligible for financing under the country financing parameter—such as vehicle, fuel, salaries, allowances to civil servants, and expenditures such as land acquisition, and resettlement (under Component 4)—as well as MFI loans to LEs (under Subcomponents 1.4 and 2.3) will also be financed from the counterpart funding which will flow to the project as parallel financing.</w:t>
      </w:r>
    </w:p>
    <w:p w14:paraId="702359B5" w14:textId="77777777" w:rsidR="00057FC1" w:rsidRPr="0058616A" w:rsidRDefault="00057FC1" w:rsidP="003E75B8">
      <w:pPr>
        <w:widowControl w:val="0"/>
        <w:autoSpaceDE w:val="0"/>
        <w:autoSpaceDN w:val="0"/>
        <w:adjustRightInd w:val="0"/>
        <w:spacing w:after="0" w:line="240" w:lineRule="auto"/>
        <w:contextualSpacing/>
        <w:jc w:val="both"/>
        <w:rPr>
          <w:rFonts w:cstheme="minorHAnsi"/>
          <w:b/>
          <w:bCs/>
        </w:rPr>
      </w:pPr>
    </w:p>
    <w:p w14:paraId="2A85C53E" w14:textId="6EE55CBB" w:rsidR="003E75B8" w:rsidRPr="0058616A" w:rsidRDefault="00BC04C7" w:rsidP="003E75B8">
      <w:pPr>
        <w:widowControl w:val="0"/>
        <w:autoSpaceDE w:val="0"/>
        <w:autoSpaceDN w:val="0"/>
        <w:adjustRightInd w:val="0"/>
        <w:spacing w:after="0" w:line="240" w:lineRule="auto"/>
        <w:contextualSpacing/>
        <w:jc w:val="both"/>
        <w:rPr>
          <w:rFonts w:cstheme="minorHAnsi"/>
          <w:b/>
          <w:bCs/>
        </w:rPr>
      </w:pPr>
      <w:r w:rsidRPr="0058616A">
        <w:rPr>
          <w:rFonts w:cstheme="minorHAnsi"/>
          <w:b/>
          <w:bCs/>
        </w:rPr>
        <w:t xml:space="preserve">Project </w:t>
      </w:r>
      <w:r w:rsidR="003E75B8" w:rsidRPr="0058616A">
        <w:rPr>
          <w:rFonts w:cstheme="minorHAnsi"/>
          <w:b/>
          <w:bCs/>
        </w:rPr>
        <w:t xml:space="preserve">Components: </w:t>
      </w:r>
    </w:p>
    <w:p w14:paraId="72D38CDB" w14:textId="77777777" w:rsidR="00842029" w:rsidRPr="0058616A" w:rsidRDefault="00842029" w:rsidP="003E75B8">
      <w:pPr>
        <w:widowControl w:val="0"/>
        <w:autoSpaceDE w:val="0"/>
        <w:autoSpaceDN w:val="0"/>
        <w:adjustRightInd w:val="0"/>
        <w:spacing w:after="0" w:line="240" w:lineRule="auto"/>
        <w:contextualSpacing/>
        <w:jc w:val="both"/>
        <w:rPr>
          <w:rFonts w:cstheme="minorHAnsi"/>
          <w:b/>
          <w:bCs/>
        </w:rPr>
      </w:pPr>
    </w:p>
    <w:p w14:paraId="424A7A0E" w14:textId="77777777" w:rsidR="007A5A03" w:rsidRPr="0058616A" w:rsidRDefault="007A5A03" w:rsidP="007A5A03">
      <w:pPr>
        <w:numPr>
          <w:ilvl w:val="0"/>
          <w:numId w:val="7"/>
        </w:numPr>
        <w:spacing w:after="240" w:line="240" w:lineRule="auto"/>
        <w:ind w:left="1195" w:hanging="475"/>
        <w:jc w:val="both"/>
        <w:rPr>
          <w:rFonts w:cstheme="minorHAnsi"/>
          <w:b/>
        </w:rPr>
      </w:pPr>
      <w:r w:rsidRPr="0058616A">
        <w:rPr>
          <w:rFonts w:cstheme="minorHAnsi"/>
          <w:b/>
        </w:rPr>
        <w:lastRenderedPageBreak/>
        <w:t xml:space="preserve">Component 1: Investments in water supply </w:t>
      </w:r>
    </w:p>
    <w:p w14:paraId="3E39418E" w14:textId="77777777" w:rsidR="007A5A03" w:rsidRPr="0058616A" w:rsidRDefault="007A5A03" w:rsidP="007A5A03">
      <w:pPr>
        <w:pStyle w:val="ListParagraph"/>
        <w:numPr>
          <w:ilvl w:val="0"/>
          <w:numId w:val="9"/>
        </w:numPr>
        <w:spacing w:after="240" w:line="240" w:lineRule="auto"/>
        <w:ind w:left="1670" w:hanging="475"/>
        <w:contextualSpacing w:val="0"/>
        <w:jc w:val="both"/>
        <w:rPr>
          <w:rFonts w:cstheme="minorHAnsi"/>
        </w:rPr>
      </w:pPr>
      <w:r w:rsidRPr="0058616A">
        <w:rPr>
          <w:rFonts w:eastAsia="Malgun Gothic" w:cstheme="minorHAnsi"/>
          <w:b/>
          <w:bCs/>
          <w:lang w:val="en-GB"/>
        </w:rPr>
        <w:t xml:space="preserve">Subcomponent 1.1 </w:t>
      </w:r>
      <w:r w:rsidRPr="0058616A">
        <w:rPr>
          <w:rFonts w:eastAsia="Malgun Gothic" w:cstheme="minorHAnsi"/>
          <w:lang w:val="en-GB"/>
        </w:rPr>
        <w:t>will carry out investments in large</w:t>
      </w:r>
      <w:r w:rsidRPr="0058616A">
        <w:rPr>
          <w:rFonts w:cstheme="minorHAnsi"/>
          <w:lang w:val="en-GB"/>
        </w:rPr>
        <w:t xml:space="preserve"> piped water schemes to support safe water scarce communities</w:t>
      </w:r>
      <w:r w:rsidRPr="0058616A">
        <w:rPr>
          <w:rFonts w:eastAsia="Malgun Gothic" w:cstheme="minorHAnsi"/>
          <w:lang w:val="en-GB"/>
        </w:rPr>
        <w:t xml:space="preserve"> </w:t>
      </w:r>
      <w:r w:rsidRPr="0058616A">
        <w:rPr>
          <w:rFonts w:eastAsia="Malgun Gothic" w:cstheme="minorHAnsi"/>
          <w:bCs/>
        </w:rPr>
        <w:t xml:space="preserve">through the build-operate (BO) model. </w:t>
      </w:r>
    </w:p>
    <w:p w14:paraId="3594AF97" w14:textId="77777777" w:rsidR="007A5A03" w:rsidRPr="0058616A" w:rsidRDefault="007A5A03" w:rsidP="007A5A03">
      <w:pPr>
        <w:pStyle w:val="ListParagraph"/>
        <w:numPr>
          <w:ilvl w:val="0"/>
          <w:numId w:val="9"/>
        </w:numPr>
        <w:spacing w:after="240" w:line="240" w:lineRule="auto"/>
        <w:ind w:left="1670" w:hanging="475"/>
        <w:contextualSpacing w:val="0"/>
        <w:jc w:val="both"/>
        <w:rPr>
          <w:rFonts w:cstheme="minorHAnsi"/>
        </w:rPr>
      </w:pPr>
      <w:r w:rsidRPr="0058616A">
        <w:rPr>
          <w:rFonts w:eastAsia="Malgun Gothic" w:cstheme="minorHAnsi"/>
          <w:b/>
          <w:bCs/>
          <w:lang w:val="en-GB"/>
        </w:rPr>
        <w:t xml:space="preserve">Subcomponent </w:t>
      </w:r>
      <w:r w:rsidRPr="0058616A">
        <w:rPr>
          <w:rFonts w:eastAsia="Malgun Gothic" w:cstheme="minorHAnsi"/>
          <w:b/>
          <w:bCs/>
        </w:rPr>
        <w:t>1.2</w:t>
      </w:r>
      <w:r w:rsidRPr="0058616A">
        <w:rPr>
          <w:rFonts w:eastAsia="Malgun Gothic" w:cstheme="minorHAnsi"/>
        </w:rPr>
        <w:t xml:space="preserve"> will carry out investments in small</w:t>
      </w:r>
      <w:r w:rsidRPr="0058616A">
        <w:rPr>
          <w:rFonts w:cstheme="minorHAnsi"/>
        </w:rPr>
        <w:t xml:space="preserve"> piped water schemes</w:t>
      </w:r>
      <w:r w:rsidRPr="0058616A">
        <w:rPr>
          <w:rFonts w:eastAsia="Malgun Gothic" w:cstheme="minorHAnsi"/>
        </w:rPr>
        <w:t xml:space="preserve"> to support safe water scarce communities through the design-build-operate (DBO) model.</w:t>
      </w:r>
      <w:r w:rsidRPr="0058616A">
        <w:rPr>
          <w:rFonts w:eastAsia="Malgun Gothic" w:cstheme="minorHAnsi"/>
          <w:bCs/>
        </w:rPr>
        <w:t xml:space="preserve"> </w:t>
      </w:r>
    </w:p>
    <w:p w14:paraId="242106E1" w14:textId="77777777" w:rsidR="007A5A03" w:rsidRPr="0058616A" w:rsidRDefault="007A5A03" w:rsidP="007A5A03">
      <w:pPr>
        <w:pStyle w:val="ListParagraph"/>
        <w:numPr>
          <w:ilvl w:val="0"/>
          <w:numId w:val="9"/>
        </w:numPr>
        <w:spacing w:after="240" w:line="240" w:lineRule="auto"/>
        <w:ind w:left="1670" w:hanging="475"/>
        <w:contextualSpacing w:val="0"/>
        <w:jc w:val="both"/>
        <w:rPr>
          <w:rFonts w:cstheme="minorHAnsi"/>
        </w:rPr>
      </w:pPr>
      <w:r w:rsidRPr="0058616A">
        <w:rPr>
          <w:rFonts w:eastAsia="Malgun Gothic" w:cstheme="minorHAnsi"/>
          <w:b/>
          <w:bCs/>
          <w:lang w:val="en-GB"/>
        </w:rPr>
        <w:t xml:space="preserve">Subcomponent </w:t>
      </w:r>
      <w:r w:rsidRPr="0058616A">
        <w:rPr>
          <w:rFonts w:eastAsia="Malgun Gothic" w:cstheme="minorHAnsi"/>
          <w:b/>
          <w:bCs/>
        </w:rPr>
        <w:t>1.3</w:t>
      </w:r>
      <w:r w:rsidRPr="0058616A">
        <w:rPr>
          <w:rFonts w:eastAsia="Malgun Gothic" w:cstheme="minorHAnsi"/>
        </w:rPr>
        <w:t xml:space="preserve"> will provide M</w:t>
      </w:r>
      <w:r w:rsidRPr="0058616A">
        <w:rPr>
          <w:rFonts w:eastAsia="Malgun Gothic" w:cstheme="minorHAnsi"/>
          <w:bCs/>
        </w:rPr>
        <w:t>FI</w:t>
      </w:r>
      <w:r w:rsidRPr="0058616A">
        <w:rPr>
          <w:rFonts w:cstheme="minorHAnsi"/>
        </w:rPr>
        <w:t xml:space="preserve"> loans</w:t>
      </w:r>
      <w:r w:rsidRPr="0058616A">
        <w:rPr>
          <w:rFonts w:eastAsia="Malgun Gothic" w:cstheme="minorHAnsi"/>
          <w:bCs/>
        </w:rPr>
        <w:t xml:space="preserve"> to households</w:t>
      </w:r>
      <w:r w:rsidRPr="0058616A">
        <w:rPr>
          <w:rFonts w:cstheme="minorHAnsi"/>
        </w:rPr>
        <w:t xml:space="preserve"> for </w:t>
      </w:r>
      <w:r w:rsidRPr="0058616A">
        <w:rPr>
          <w:rFonts w:eastAsia="Malgun Gothic" w:cstheme="minorHAnsi"/>
          <w:bCs/>
        </w:rPr>
        <w:t xml:space="preserve">their water facility improvements. </w:t>
      </w:r>
    </w:p>
    <w:p w14:paraId="2211A31B" w14:textId="77777777" w:rsidR="007A5A03" w:rsidRPr="0058616A" w:rsidRDefault="007A5A03" w:rsidP="007A5A03">
      <w:pPr>
        <w:pStyle w:val="ListParagraph"/>
        <w:numPr>
          <w:ilvl w:val="0"/>
          <w:numId w:val="9"/>
        </w:numPr>
        <w:spacing w:after="240" w:line="240" w:lineRule="auto"/>
        <w:ind w:left="1670" w:hanging="475"/>
        <w:contextualSpacing w:val="0"/>
        <w:jc w:val="both"/>
        <w:rPr>
          <w:rFonts w:cstheme="minorHAnsi"/>
        </w:rPr>
      </w:pPr>
      <w:r w:rsidRPr="0058616A">
        <w:rPr>
          <w:rFonts w:eastAsia="Malgun Gothic" w:cstheme="minorHAnsi"/>
          <w:b/>
          <w:bCs/>
          <w:lang w:val="en-GB"/>
        </w:rPr>
        <w:t xml:space="preserve">Subcomponent </w:t>
      </w:r>
      <w:r w:rsidRPr="0058616A">
        <w:rPr>
          <w:rFonts w:eastAsia="Malgun Gothic" w:cstheme="minorHAnsi"/>
          <w:b/>
          <w:bCs/>
          <w:iCs/>
        </w:rPr>
        <w:t>1.4</w:t>
      </w:r>
      <w:r w:rsidRPr="0058616A">
        <w:rPr>
          <w:rFonts w:eastAsia="Malgun Gothic" w:cstheme="minorHAnsi"/>
          <w:iCs/>
        </w:rPr>
        <w:t xml:space="preserve"> w</w:t>
      </w:r>
      <w:r w:rsidRPr="0058616A">
        <w:rPr>
          <w:rFonts w:eastAsia="Malgun Gothic" w:cstheme="minorHAnsi"/>
          <w:bCs/>
          <w:iCs/>
        </w:rPr>
        <w:t>ill provide MFI loans to local water entrepreneurs to respond to the household demand for certified water facilities and</w:t>
      </w:r>
      <w:r w:rsidRPr="0058616A">
        <w:rPr>
          <w:rFonts w:cstheme="minorHAnsi"/>
        </w:rPr>
        <w:t xml:space="preserve"> expand their business</w:t>
      </w:r>
      <w:r w:rsidRPr="0058616A">
        <w:rPr>
          <w:rFonts w:eastAsia="Malgun Gothic" w:cstheme="minorHAnsi"/>
          <w:bCs/>
          <w:iCs/>
        </w:rPr>
        <w:t>.</w:t>
      </w:r>
      <w:r w:rsidRPr="0058616A">
        <w:rPr>
          <w:rStyle w:val="FootnoteReference"/>
          <w:rFonts w:eastAsia="Malgun Gothic" w:cstheme="minorHAnsi"/>
          <w:bCs/>
          <w:iCs/>
        </w:rPr>
        <w:footnoteReference w:id="4"/>
      </w:r>
    </w:p>
    <w:p w14:paraId="19AB1395" w14:textId="07CE1B08" w:rsidR="007A5A03" w:rsidRPr="0058616A" w:rsidRDefault="007A5A03" w:rsidP="007A5A03">
      <w:pPr>
        <w:pStyle w:val="ListParagraph"/>
        <w:numPr>
          <w:ilvl w:val="0"/>
          <w:numId w:val="9"/>
        </w:numPr>
        <w:spacing w:after="240" w:line="240" w:lineRule="auto"/>
        <w:ind w:left="1670" w:hanging="475"/>
        <w:contextualSpacing w:val="0"/>
        <w:jc w:val="both"/>
        <w:rPr>
          <w:rFonts w:cstheme="minorHAnsi"/>
        </w:rPr>
      </w:pPr>
      <w:r w:rsidRPr="0058616A">
        <w:rPr>
          <w:rFonts w:eastAsia="Malgun Gothic" w:cstheme="minorHAnsi"/>
          <w:b/>
          <w:bCs/>
          <w:lang w:val="en-GB"/>
        </w:rPr>
        <w:t xml:space="preserve">Subcomponent </w:t>
      </w:r>
      <w:r w:rsidRPr="0058616A">
        <w:rPr>
          <w:rFonts w:eastAsia="Malgun Gothic" w:cstheme="minorHAnsi"/>
          <w:b/>
          <w:bCs/>
          <w:iCs/>
        </w:rPr>
        <w:t>1.5</w:t>
      </w:r>
      <w:r w:rsidRPr="0058616A">
        <w:rPr>
          <w:rFonts w:eastAsia="Malgun Gothic" w:cstheme="minorHAnsi"/>
          <w:iCs/>
        </w:rPr>
        <w:t xml:space="preserve"> will carry out feasibility</w:t>
      </w:r>
      <w:r w:rsidRPr="0058616A">
        <w:rPr>
          <w:rFonts w:cstheme="minorHAnsi"/>
        </w:rPr>
        <w:t xml:space="preserve"> studies in high climate risk regions</w:t>
      </w:r>
      <w:r w:rsidR="0058616A" w:rsidRPr="0058616A">
        <w:rPr>
          <w:rFonts w:eastAsia="Malgun Gothic" w:cstheme="minorHAnsi"/>
          <w:iCs/>
        </w:rPr>
        <w:t xml:space="preserve">. </w:t>
      </w:r>
    </w:p>
    <w:p w14:paraId="531B0DA0" w14:textId="77777777" w:rsidR="007A5A03" w:rsidRPr="0058616A" w:rsidRDefault="007A5A03" w:rsidP="007A5A03">
      <w:pPr>
        <w:keepNext/>
        <w:numPr>
          <w:ilvl w:val="0"/>
          <w:numId w:val="7"/>
        </w:numPr>
        <w:spacing w:after="240" w:line="240" w:lineRule="auto"/>
        <w:ind w:left="1195" w:hanging="475"/>
        <w:jc w:val="both"/>
        <w:rPr>
          <w:rFonts w:cstheme="minorHAnsi"/>
          <w:b/>
        </w:rPr>
      </w:pPr>
      <w:r w:rsidRPr="0058616A">
        <w:rPr>
          <w:rFonts w:cstheme="minorHAnsi"/>
          <w:b/>
        </w:rPr>
        <w:t xml:space="preserve">Component 2: Investments in sanitation and hygiene </w:t>
      </w:r>
    </w:p>
    <w:p w14:paraId="4FE68C70" w14:textId="77777777" w:rsidR="007A5A03" w:rsidRPr="0058616A" w:rsidRDefault="007A5A03" w:rsidP="007A5A03">
      <w:pPr>
        <w:pStyle w:val="ListParagraph"/>
        <w:numPr>
          <w:ilvl w:val="0"/>
          <w:numId w:val="10"/>
        </w:numPr>
        <w:spacing w:after="240" w:line="240" w:lineRule="auto"/>
        <w:ind w:left="1670" w:hanging="475"/>
        <w:contextualSpacing w:val="0"/>
        <w:jc w:val="both"/>
        <w:rPr>
          <w:rFonts w:cstheme="minorHAnsi"/>
        </w:rPr>
      </w:pPr>
      <w:r w:rsidRPr="0058616A">
        <w:rPr>
          <w:rFonts w:eastAsia="Malgun Gothic" w:cstheme="minorHAnsi"/>
          <w:b/>
          <w:bCs/>
          <w:lang w:val="en-GB"/>
        </w:rPr>
        <w:t xml:space="preserve">Subcomponent </w:t>
      </w:r>
      <w:r w:rsidRPr="0058616A">
        <w:rPr>
          <w:rFonts w:cstheme="minorHAnsi"/>
          <w:b/>
          <w:bCs/>
        </w:rPr>
        <w:t>2.1</w:t>
      </w:r>
      <w:r w:rsidRPr="0058616A">
        <w:rPr>
          <w:rFonts w:cstheme="minorHAnsi"/>
        </w:rPr>
        <w:t xml:space="preserve"> will provide </w:t>
      </w:r>
      <w:r w:rsidRPr="0058616A">
        <w:rPr>
          <w:rFonts w:eastAsia="Malgun Gothic" w:cstheme="minorHAnsi"/>
        </w:rPr>
        <w:t>public</w:t>
      </w:r>
      <w:r w:rsidRPr="0058616A">
        <w:rPr>
          <w:rFonts w:cstheme="minorHAnsi"/>
        </w:rPr>
        <w:t xml:space="preserve"> sanitation and hygiene facilities in high pedestrian traffic locations (such as markets, bus stations) and community health clinics.</w:t>
      </w:r>
    </w:p>
    <w:p w14:paraId="5AA6924E" w14:textId="77777777" w:rsidR="007A5A03" w:rsidRPr="0058616A" w:rsidRDefault="007A5A03" w:rsidP="007A5A03">
      <w:pPr>
        <w:pStyle w:val="ListParagraph"/>
        <w:numPr>
          <w:ilvl w:val="0"/>
          <w:numId w:val="10"/>
        </w:numPr>
        <w:spacing w:after="240" w:line="240" w:lineRule="auto"/>
        <w:ind w:left="1670" w:hanging="475"/>
        <w:contextualSpacing w:val="0"/>
        <w:jc w:val="both"/>
        <w:rPr>
          <w:rFonts w:cstheme="minorHAnsi"/>
        </w:rPr>
      </w:pPr>
      <w:r w:rsidRPr="0058616A">
        <w:rPr>
          <w:rFonts w:eastAsia="Malgun Gothic" w:cstheme="minorHAnsi"/>
          <w:b/>
          <w:bCs/>
          <w:lang w:val="en-GB"/>
        </w:rPr>
        <w:t xml:space="preserve">Subcomponent </w:t>
      </w:r>
      <w:r w:rsidRPr="0058616A">
        <w:rPr>
          <w:rFonts w:cstheme="minorHAnsi"/>
          <w:b/>
          <w:bCs/>
        </w:rPr>
        <w:t>2.2</w:t>
      </w:r>
      <w:r w:rsidRPr="0058616A">
        <w:rPr>
          <w:rFonts w:cstheme="minorHAnsi"/>
        </w:rPr>
        <w:t xml:space="preserve"> will provide ‘safely managed’ sanitation and hygiene facilities for households through MFI loans or sanitation grants. </w:t>
      </w:r>
    </w:p>
    <w:p w14:paraId="4347B093" w14:textId="77777777" w:rsidR="007A5A03" w:rsidRPr="0058616A" w:rsidRDefault="007A5A03" w:rsidP="007A5A03">
      <w:pPr>
        <w:pStyle w:val="ListParagraph"/>
        <w:numPr>
          <w:ilvl w:val="0"/>
          <w:numId w:val="10"/>
        </w:numPr>
        <w:spacing w:after="240" w:line="240" w:lineRule="auto"/>
        <w:ind w:left="1670" w:hanging="475"/>
        <w:contextualSpacing w:val="0"/>
        <w:jc w:val="both"/>
        <w:rPr>
          <w:rFonts w:cstheme="minorHAnsi"/>
        </w:rPr>
      </w:pPr>
      <w:r w:rsidRPr="0058616A">
        <w:rPr>
          <w:rFonts w:eastAsia="Malgun Gothic" w:cstheme="minorHAnsi"/>
          <w:b/>
          <w:bCs/>
          <w:lang w:val="en-GB"/>
        </w:rPr>
        <w:t xml:space="preserve">Subcomponent </w:t>
      </w:r>
      <w:r w:rsidRPr="0058616A">
        <w:rPr>
          <w:rFonts w:cstheme="minorHAnsi"/>
          <w:b/>
          <w:bCs/>
        </w:rPr>
        <w:t>2.3</w:t>
      </w:r>
      <w:r w:rsidRPr="0058616A">
        <w:rPr>
          <w:rFonts w:cstheme="minorHAnsi"/>
        </w:rPr>
        <w:t xml:space="preserve"> will provide MFI loans to LEs to respond to the household demand for certified sanitation facilities and expand their businesses</w:t>
      </w:r>
      <w:r w:rsidRPr="0058616A">
        <w:rPr>
          <w:rStyle w:val="FootnoteReference"/>
          <w:rFonts w:cstheme="minorHAnsi"/>
        </w:rPr>
        <w:footnoteReference w:id="5"/>
      </w:r>
      <w:r w:rsidRPr="0058616A">
        <w:rPr>
          <w:rFonts w:cstheme="minorHAnsi"/>
        </w:rPr>
        <w:t xml:space="preserve"> and provide training for MFIs on WASH loans and LEs on climate-smart design and proper installation and maintenance of ‘safely managed’ WASH facility products.</w:t>
      </w:r>
    </w:p>
    <w:p w14:paraId="304DC302" w14:textId="2F8F8099" w:rsidR="007A5A03" w:rsidRPr="0058616A" w:rsidRDefault="007A5A03" w:rsidP="007A5A03">
      <w:pPr>
        <w:pStyle w:val="ListParagraph"/>
        <w:numPr>
          <w:ilvl w:val="0"/>
          <w:numId w:val="10"/>
        </w:numPr>
        <w:spacing w:after="240" w:line="240" w:lineRule="auto"/>
        <w:ind w:left="1670" w:hanging="475"/>
        <w:contextualSpacing w:val="0"/>
        <w:jc w:val="both"/>
        <w:rPr>
          <w:rFonts w:cstheme="minorHAnsi"/>
        </w:rPr>
      </w:pPr>
      <w:r w:rsidRPr="0058616A">
        <w:rPr>
          <w:rFonts w:eastAsia="Malgun Gothic" w:cstheme="minorHAnsi"/>
          <w:b/>
          <w:bCs/>
          <w:lang w:val="en-GB"/>
        </w:rPr>
        <w:t xml:space="preserve">Subcomponent </w:t>
      </w:r>
      <w:r w:rsidRPr="0058616A">
        <w:rPr>
          <w:rFonts w:eastAsia="Malgun Gothic" w:cstheme="minorHAnsi"/>
          <w:b/>
          <w:bCs/>
          <w:iCs/>
        </w:rPr>
        <w:t>2.4</w:t>
      </w:r>
      <w:r w:rsidRPr="0058616A">
        <w:rPr>
          <w:rFonts w:eastAsia="Malgun Gothic" w:cstheme="minorHAnsi"/>
          <w:iCs/>
        </w:rPr>
        <w:t xml:space="preserve"> will promote innovation to</w:t>
      </w:r>
      <w:r w:rsidRPr="0058616A">
        <w:rPr>
          <w:rFonts w:eastAsia="Malgun Gothic" w:cstheme="minorHAnsi"/>
          <w:bCs/>
          <w:iCs/>
        </w:rPr>
        <w:t xml:space="preserve"> localize innovative</w:t>
      </w:r>
      <w:r w:rsidR="00283C2E" w:rsidRPr="0058616A">
        <w:rPr>
          <w:rFonts w:eastAsia="Malgun Gothic" w:cstheme="minorHAnsi"/>
          <w:bCs/>
          <w:iCs/>
        </w:rPr>
        <w:t xml:space="preserve"> water, sanitation and </w:t>
      </w:r>
      <w:r w:rsidR="00201D92" w:rsidRPr="0058616A">
        <w:rPr>
          <w:rFonts w:eastAsia="Malgun Gothic" w:cstheme="minorHAnsi"/>
          <w:bCs/>
          <w:iCs/>
        </w:rPr>
        <w:t>hygiene (</w:t>
      </w:r>
      <w:r w:rsidRPr="0058616A">
        <w:rPr>
          <w:rFonts w:eastAsia="Malgun Gothic" w:cstheme="minorHAnsi"/>
          <w:bCs/>
          <w:iCs/>
        </w:rPr>
        <w:t>WASH</w:t>
      </w:r>
      <w:r w:rsidR="00201D92" w:rsidRPr="0058616A">
        <w:rPr>
          <w:rFonts w:eastAsia="Malgun Gothic" w:cstheme="minorHAnsi"/>
          <w:bCs/>
          <w:iCs/>
        </w:rPr>
        <w:t>)</w:t>
      </w:r>
      <w:r w:rsidRPr="0058616A">
        <w:rPr>
          <w:rFonts w:eastAsia="Malgun Gothic" w:cstheme="minorHAnsi"/>
          <w:bCs/>
          <w:iCs/>
        </w:rPr>
        <w:t xml:space="preserve"> technologies, especially in </w:t>
      </w:r>
      <w:r w:rsidR="00201D92" w:rsidRPr="0058616A">
        <w:rPr>
          <w:rFonts w:eastAsia="Malgun Gothic" w:cstheme="minorHAnsi"/>
          <w:bCs/>
          <w:iCs/>
        </w:rPr>
        <w:t>fecal sludge management (</w:t>
      </w:r>
      <w:r w:rsidRPr="0058616A">
        <w:rPr>
          <w:rFonts w:eastAsia="Malgun Gothic" w:cstheme="minorHAnsi"/>
          <w:bCs/>
          <w:iCs/>
        </w:rPr>
        <w:t>FSM</w:t>
      </w:r>
      <w:r w:rsidR="00201D92" w:rsidRPr="0058616A">
        <w:rPr>
          <w:rFonts w:eastAsia="Malgun Gothic" w:cstheme="minorHAnsi"/>
          <w:bCs/>
          <w:iCs/>
        </w:rPr>
        <w:t>)</w:t>
      </w:r>
      <w:r w:rsidRPr="0058616A">
        <w:rPr>
          <w:rFonts w:eastAsia="Malgun Gothic" w:cstheme="minorHAnsi"/>
          <w:bCs/>
          <w:iCs/>
        </w:rPr>
        <w:t>.</w:t>
      </w:r>
    </w:p>
    <w:p w14:paraId="4948B9F6" w14:textId="77777777" w:rsidR="00057FC1" w:rsidRPr="0058616A" w:rsidRDefault="007A5A03" w:rsidP="00B02581">
      <w:pPr>
        <w:pStyle w:val="ListParagraph"/>
        <w:numPr>
          <w:ilvl w:val="0"/>
          <w:numId w:val="10"/>
        </w:numPr>
        <w:spacing w:after="240" w:line="240" w:lineRule="auto"/>
        <w:ind w:left="1670" w:hanging="475"/>
        <w:contextualSpacing w:val="0"/>
        <w:jc w:val="both"/>
        <w:rPr>
          <w:rFonts w:cstheme="minorHAnsi"/>
          <w:b/>
        </w:rPr>
      </w:pPr>
      <w:r w:rsidRPr="0058616A">
        <w:rPr>
          <w:rFonts w:eastAsia="Malgun Gothic" w:cstheme="minorHAnsi"/>
          <w:b/>
          <w:bCs/>
          <w:lang w:val="en-GB"/>
        </w:rPr>
        <w:t xml:space="preserve">Subcomponent </w:t>
      </w:r>
      <w:r w:rsidRPr="0058616A">
        <w:rPr>
          <w:rFonts w:eastAsia="Malgun Gothic" w:cstheme="minorHAnsi"/>
          <w:b/>
          <w:bCs/>
          <w:iCs/>
        </w:rPr>
        <w:t>2.5</w:t>
      </w:r>
      <w:r w:rsidRPr="0058616A">
        <w:rPr>
          <w:rFonts w:eastAsia="Malgun Gothic" w:cstheme="minorHAnsi"/>
          <w:iCs/>
        </w:rPr>
        <w:t xml:space="preserve"> will support a behavioral</w:t>
      </w:r>
      <w:r w:rsidRPr="0058616A">
        <w:rPr>
          <w:rFonts w:cstheme="minorHAnsi"/>
        </w:rPr>
        <w:t xml:space="preserve"> change communication (BCC) campaign</w:t>
      </w:r>
      <w:r w:rsidRPr="0058616A">
        <w:rPr>
          <w:rFonts w:eastAsia="Malgun Gothic" w:cstheme="minorHAnsi"/>
          <w:iCs/>
        </w:rPr>
        <w:t xml:space="preserve"> to raise WASH awareness</w:t>
      </w:r>
      <w:r w:rsidR="00057FC1" w:rsidRPr="0058616A">
        <w:rPr>
          <w:rFonts w:eastAsia="Malgun Gothic" w:cstheme="minorHAnsi"/>
          <w:iCs/>
        </w:rPr>
        <w:t>.</w:t>
      </w:r>
    </w:p>
    <w:p w14:paraId="31680554" w14:textId="7D733F1A" w:rsidR="007A5A03" w:rsidRPr="0058616A" w:rsidRDefault="007A5A03" w:rsidP="007A5A03">
      <w:pPr>
        <w:pStyle w:val="ListParagraph"/>
        <w:keepNext/>
        <w:numPr>
          <w:ilvl w:val="0"/>
          <w:numId w:val="7"/>
        </w:numPr>
        <w:spacing w:after="240" w:line="240" w:lineRule="auto"/>
        <w:ind w:left="1195" w:hanging="475"/>
        <w:contextualSpacing w:val="0"/>
        <w:jc w:val="both"/>
        <w:rPr>
          <w:rFonts w:cstheme="minorHAnsi"/>
          <w:b/>
        </w:rPr>
      </w:pPr>
      <w:r w:rsidRPr="0058616A">
        <w:rPr>
          <w:rFonts w:cstheme="minorHAnsi"/>
          <w:b/>
        </w:rPr>
        <w:t xml:space="preserve">Component 3: Institutional strengthening </w:t>
      </w:r>
    </w:p>
    <w:p w14:paraId="7EA13B48" w14:textId="77777777" w:rsidR="007A5A03" w:rsidRPr="0058616A" w:rsidRDefault="007A5A03" w:rsidP="007A5A03">
      <w:pPr>
        <w:pStyle w:val="ListParagraph"/>
        <w:numPr>
          <w:ilvl w:val="0"/>
          <w:numId w:val="8"/>
        </w:numPr>
        <w:spacing w:after="240" w:line="240" w:lineRule="auto"/>
        <w:ind w:left="1670" w:hanging="475"/>
        <w:contextualSpacing w:val="0"/>
        <w:jc w:val="both"/>
        <w:rPr>
          <w:rFonts w:cstheme="minorHAnsi"/>
        </w:rPr>
      </w:pPr>
      <w:r w:rsidRPr="0058616A">
        <w:rPr>
          <w:rFonts w:eastAsia="Malgun Gothic" w:cstheme="minorHAnsi"/>
          <w:b/>
          <w:bCs/>
          <w:lang w:val="en-GB"/>
        </w:rPr>
        <w:t xml:space="preserve">Subcomponent </w:t>
      </w:r>
      <w:r w:rsidRPr="0058616A">
        <w:rPr>
          <w:rFonts w:eastAsia="Malgun Gothic" w:cstheme="minorHAnsi"/>
          <w:b/>
          <w:bCs/>
        </w:rPr>
        <w:t>3.1</w:t>
      </w:r>
      <w:r w:rsidRPr="0058616A">
        <w:rPr>
          <w:rFonts w:eastAsia="Malgun Gothic" w:cstheme="minorHAnsi"/>
        </w:rPr>
        <w:t xml:space="preserve"> will provide technical assistance (TA) for the strengthening</w:t>
      </w:r>
      <w:r w:rsidRPr="0058616A">
        <w:rPr>
          <w:rFonts w:cstheme="minorHAnsi"/>
        </w:rPr>
        <w:t xml:space="preserve"> of policies </w:t>
      </w:r>
      <w:r w:rsidRPr="0058616A">
        <w:rPr>
          <w:rFonts w:eastAsia="Malgun Gothic" w:cstheme="minorHAnsi"/>
        </w:rPr>
        <w:t xml:space="preserve">necessary to </w:t>
      </w:r>
      <w:r w:rsidRPr="0058616A">
        <w:rPr>
          <w:rFonts w:cstheme="minorHAnsi"/>
        </w:rPr>
        <w:t xml:space="preserve">support </w:t>
      </w:r>
      <w:r w:rsidRPr="0058616A">
        <w:rPr>
          <w:rFonts w:eastAsia="Malgun Gothic" w:cstheme="minorHAnsi"/>
        </w:rPr>
        <w:t xml:space="preserve">the </w:t>
      </w:r>
      <w:r w:rsidRPr="0058616A">
        <w:rPr>
          <w:rFonts w:cstheme="minorHAnsi"/>
        </w:rPr>
        <w:t>implementation of the NSWSS.</w:t>
      </w:r>
    </w:p>
    <w:p w14:paraId="0A6C3C36" w14:textId="77777777" w:rsidR="007A5A03" w:rsidRPr="0058616A" w:rsidRDefault="007A5A03" w:rsidP="007A5A03">
      <w:pPr>
        <w:pStyle w:val="ListParagraph"/>
        <w:numPr>
          <w:ilvl w:val="0"/>
          <w:numId w:val="8"/>
        </w:numPr>
        <w:spacing w:after="240" w:line="240" w:lineRule="auto"/>
        <w:ind w:left="1670" w:hanging="475"/>
        <w:contextualSpacing w:val="0"/>
        <w:jc w:val="both"/>
        <w:rPr>
          <w:rFonts w:cstheme="minorHAnsi"/>
        </w:rPr>
      </w:pPr>
      <w:r w:rsidRPr="0058616A">
        <w:rPr>
          <w:rFonts w:eastAsia="Malgun Gothic" w:cstheme="minorHAnsi"/>
          <w:b/>
          <w:bCs/>
          <w:lang w:val="en-GB"/>
        </w:rPr>
        <w:t xml:space="preserve">Subcomponent </w:t>
      </w:r>
      <w:r w:rsidRPr="0058616A">
        <w:rPr>
          <w:rFonts w:eastAsia="Malgun Gothic" w:cstheme="minorHAnsi"/>
          <w:b/>
          <w:bCs/>
          <w:iCs/>
        </w:rPr>
        <w:t>3.2</w:t>
      </w:r>
      <w:r w:rsidRPr="0058616A">
        <w:rPr>
          <w:rFonts w:eastAsia="Malgun Gothic" w:cstheme="minorHAnsi"/>
          <w:iCs/>
        </w:rPr>
        <w:t xml:space="preserve"> will carry out capacity-</w:t>
      </w:r>
      <w:r w:rsidRPr="0058616A">
        <w:rPr>
          <w:rFonts w:cstheme="minorHAnsi"/>
        </w:rPr>
        <w:t xml:space="preserve">building activities through trainings to central and local government officials working in the WASH and converging sectors who are responsible for implementation of the NSWSS and investments in information technology (IT) hardware and software to support the sector institutions. </w:t>
      </w:r>
    </w:p>
    <w:p w14:paraId="754E8B40" w14:textId="77777777" w:rsidR="007A5A03" w:rsidRPr="0058616A" w:rsidRDefault="007A5A03" w:rsidP="007A5A03">
      <w:pPr>
        <w:keepNext/>
        <w:numPr>
          <w:ilvl w:val="0"/>
          <w:numId w:val="7"/>
        </w:numPr>
        <w:spacing w:after="240" w:line="240" w:lineRule="auto"/>
        <w:ind w:left="1195" w:hanging="475"/>
        <w:jc w:val="both"/>
        <w:rPr>
          <w:rFonts w:cstheme="minorHAnsi"/>
          <w:b/>
        </w:rPr>
      </w:pPr>
      <w:r w:rsidRPr="0058616A">
        <w:rPr>
          <w:rFonts w:cstheme="minorHAnsi"/>
          <w:b/>
        </w:rPr>
        <w:lastRenderedPageBreak/>
        <w:t xml:space="preserve">Component 4: Project implementation and management </w:t>
      </w:r>
    </w:p>
    <w:p w14:paraId="614119D3" w14:textId="21AD0E1E" w:rsidR="007A5A03" w:rsidRPr="0058616A" w:rsidRDefault="007A5A03" w:rsidP="007A5A03">
      <w:pPr>
        <w:pStyle w:val="ListParagraph"/>
        <w:numPr>
          <w:ilvl w:val="0"/>
          <w:numId w:val="11"/>
        </w:numPr>
        <w:spacing w:after="240" w:line="240" w:lineRule="auto"/>
        <w:ind w:left="1670" w:hanging="475"/>
        <w:contextualSpacing w:val="0"/>
        <w:jc w:val="both"/>
        <w:rPr>
          <w:rFonts w:cstheme="minorHAnsi"/>
          <w:b/>
        </w:rPr>
      </w:pPr>
      <w:r w:rsidRPr="0058616A">
        <w:rPr>
          <w:rFonts w:cstheme="minorHAnsi"/>
          <w:b/>
          <w:bCs/>
        </w:rPr>
        <w:t>Subcomponent 4.1</w:t>
      </w:r>
      <w:r w:rsidRPr="0058616A">
        <w:rPr>
          <w:rFonts w:cstheme="minorHAnsi"/>
        </w:rPr>
        <w:t xml:space="preserve"> will support the DPHE’s capacity for project implementation and monitoring.</w:t>
      </w:r>
    </w:p>
    <w:p w14:paraId="19888BFF" w14:textId="32B9EC5A" w:rsidR="007A5A03" w:rsidRPr="0058616A" w:rsidRDefault="007A5A03" w:rsidP="007A5A03">
      <w:pPr>
        <w:pStyle w:val="ListParagraph"/>
        <w:numPr>
          <w:ilvl w:val="0"/>
          <w:numId w:val="11"/>
        </w:numPr>
        <w:spacing w:after="240" w:line="240" w:lineRule="auto"/>
        <w:ind w:left="1670" w:hanging="475"/>
        <w:contextualSpacing w:val="0"/>
        <w:jc w:val="both"/>
        <w:rPr>
          <w:rFonts w:cstheme="minorHAnsi"/>
          <w:bCs/>
        </w:rPr>
      </w:pPr>
      <w:r w:rsidRPr="0058616A">
        <w:rPr>
          <w:rFonts w:cstheme="minorHAnsi"/>
          <w:b/>
        </w:rPr>
        <w:t>Subcomponent 4.2</w:t>
      </w:r>
      <w:r w:rsidRPr="0058616A">
        <w:rPr>
          <w:rFonts w:cstheme="minorHAnsi"/>
          <w:bCs/>
        </w:rPr>
        <w:t xml:space="preserve"> will support the PKSF’s capacity for the project implementation and monitoring.</w:t>
      </w:r>
    </w:p>
    <w:p w14:paraId="266F6F09" w14:textId="504DA48F" w:rsidR="007A5A03" w:rsidRPr="0058616A" w:rsidRDefault="007A5A03" w:rsidP="007A5A03">
      <w:pPr>
        <w:keepNext/>
        <w:numPr>
          <w:ilvl w:val="0"/>
          <w:numId w:val="7"/>
        </w:numPr>
        <w:spacing w:after="240" w:line="240" w:lineRule="auto"/>
        <w:ind w:left="1195" w:hanging="475"/>
        <w:jc w:val="both"/>
        <w:rPr>
          <w:rFonts w:cstheme="minorHAnsi"/>
          <w:b/>
        </w:rPr>
      </w:pPr>
      <w:r w:rsidRPr="0058616A">
        <w:rPr>
          <w:rFonts w:cstheme="minorHAnsi"/>
          <w:b/>
        </w:rPr>
        <w:t>Component 5:</w:t>
      </w:r>
      <w:r w:rsidRPr="0058616A">
        <w:rPr>
          <w:rFonts w:cstheme="minorHAnsi"/>
          <w:b/>
          <w:bCs/>
        </w:rPr>
        <w:t xml:space="preserve"> COVID-19 emergency response.</w:t>
      </w:r>
      <w:r w:rsidRPr="0058616A">
        <w:rPr>
          <w:rFonts w:cstheme="minorHAnsi"/>
        </w:rPr>
        <w:t xml:space="preserve"> This component will provide quick, just-in-time WASH services where needed in the COVID-19 pandemic hotspots, to cope with the fast-changing COVID-19 situation</w:t>
      </w:r>
      <w:r w:rsidR="004B0D6E" w:rsidRPr="0058616A">
        <w:rPr>
          <w:rFonts w:cstheme="minorHAnsi"/>
        </w:rPr>
        <w:t xml:space="preserve">. </w:t>
      </w:r>
      <w:r w:rsidRPr="0058616A">
        <w:rPr>
          <w:rFonts w:cstheme="minorHAnsi"/>
        </w:rPr>
        <w:t xml:space="preserve"> </w:t>
      </w:r>
    </w:p>
    <w:p w14:paraId="1C0364FE" w14:textId="77777777" w:rsidR="007A5A03" w:rsidRPr="0058616A" w:rsidRDefault="007A5A03" w:rsidP="007A5A03">
      <w:pPr>
        <w:keepNext/>
        <w:numPr>
          <w:ilvl w:val="0"/>
          <w:numId w:val="7"/>
        </w:numPr>
        <w:spacing w:after="240" w:line="240" w:lineRule="auto"/>
        <w:ind w:left="1195" w:hanging="475"/>
        <w:jc w:val="both"/>
        <w:rPr>
          <w:rFonts w:cstheme="minorHAnsi"/>
        </w:rPr>
      </w:pPr>
      <w:r w:rsidRPr="0058616A">
        <w:rPr>
          <w:rFonts w:cstheme="minorHAnsi"/>
          <w:b/>
          <w:bCs/>
        </w:rPr>
        <w:t xml:space="preserve">Component 6: Contingent emergency response component (CERC). </w:t>
      </w:r>
      <w:r w:rsidRPr="0058616A">
        <w:rPr>
          <w:rFonts w:cstheme="minorHAnsi"/>
        </w:rPr>
        <w:t>This component will provide immediate response to an eligible crisis or emergency as needed.</w:t>
      </w:r>
    </w:p>
    <w:p w14:paraId="00ECE937" w14:textId="77777777" w:rsidR="003E75B8" w:rsidRPr="0058616A" w:rsidRDefault="003E75B8" w:rsidP="003E75B8">
      <w:pPr>
        <w:rPr>
          <w:rFonts w:cstheme="minorHAnsi"/>
          <w:bCs/>
        </w:rPr>
      </w:pPr>
    </w:p>
    <w:p w14:paraId="6FF67883" w14:textId="77777777" w:rsidR="003E75B8" w:rsidRPr="0058616A" w:rsidRDefault="003E75B8" w:rsidP="003E75B8">
      <w:pPr>
        <w:rPr>
          <w:rFonts w:cstheme="minorHAnsi"/>
        </w:rPr>
      </w:pPr>
      <w:r w:rsidRPr="0058616A">
        <w:rPr>
          <w:rFonts w:cstheme="minorHAnsi"/>
          <w:iCs/>
        </w:rPr>
        <w:t xml:space="preserve">4. </w:t>
      </w:r>
      <w:r w:rsidRPr="0058616A">
        <w:rPr>
          <w:rFonts w:cstheme="minorHAnsi"/>
          <w:b/>
        </w:rPr>
        <w:t>Palli Karma-Sahayak Foundation (PKSF), financial i</w:t>
      </w:r>
      <w:r w:rsidRPr="0058616A">
        <w:rPr>
          <w:rFonts w:cstheme="minorHAnsi"/>
          <w:b/>
          <w:noProof/>
        </w:rPr>
        <w:t>ntermediary</w:t>
      </w:r>
    </w:p>
    <w:p w14:paraId="5D7A1EA1" w14:textId="43D0EEC1" w:rsidR="003E75B8" w:rsidRPr="0058616A" w:rsidRDefault="003E75B8" w:rsidP="003E75B8">
      <w:pPr>
        <w:rPr>
          <w:rFonts w:cstheme="minorHAnsi"/>
        </w:rPr>
      </w:pPr>
      <w:r w:rsidRPr="0058616A">
        <w:rPr>
          <w:rFonts w:cstheme="minorHAnsi"/>
          <w:lang w:val="en-GB"/>
        </w:rPr>
        <w:t xml:space="preserve">PKSF was established in 1990 by the Government of Bangladesh and registered under the Companies Act as a “not-for-profit” organization. PKSF’s vision is to alleviate poverty and improve the quality of life of the poor – the landless and the asset less people – by providing them with resources to create employment and enhance economic conditions.   Since its inception, it has been working as an apex (wholesale) microcredit funding, providing capital </w:t>
      </w:r>
      <w:r w:rsidR="00327F79" w:rsidRPr="0058616A">
        <w:rPr>
          <w:rFonts w:cstheme="minorHAnsi"/>
          <w:lang w:val="en-GB"/>
        </w:rPr>
        <w:t xml:space="preserve">to </w:t>
      </w:r>
      <w:r w:rsidRPr="0058616A">
        <w:rPr>
          <w:rFonts w:cstheme="minorHAnsi"/>
          <w:lang w:val="en-GB"/>
        </w:rPr>
        <w:t xml:space="preserve">its Partner Organizations (POs) to provide microcredit to the poor households, </w:t>
      </w:r>
      <w:r w:rsidR="00BB3F87" w:rsidRPr="0058616A">
        <w:rPr>
          <w:rFonts w:cstheme="minorHAnsi"/>
          <w:lang w:val="en-GB"/>
        </w:rPr>
        <w:t>also build</w:t>
      </w:r>
      <w:r w:rsidRPr="0058616A">
        <w:rPr>
          <w:rFonts w:cstheme="minorHAnsi"/>
          <w:lang w:val="en-GB"/>
        </w:rPr>
        <w:t xml:space="preserve"> the capacity </w:t>
      </w:r>
      <w:r w:rsidR="00327F79" w:rsidRPr="0058616A">
        <w:rPr>
          <w:rFonts w:cstheme="minorHAnsi"/>
          <w:lang w:val="en-GB"/>
        </w:rPr>
        <w:t xml:space="preserve">of POs </w:t>
      </w:r>
      <w:r w:rsidR="00866E06" w:rsidRPr="0058616A">
        <w:rPr>
          <w:rFonts w:cstheme="minorHAnsi"/>
          <w:lang w:val="en-GB"/>
        </w:rPr>
        <w:t xml:space="preserve">and </w:t>
      </w:r>
      <w:r w:rsidR="00866E06" w:rsidRPr="0058616A">
        <w:rPr>
          <w:rFonts w:cstheme="minorHAnsi"/>
        </w:rPr>
        <w:t>monitor</w:t>
      </w:r>
      <w:r w:rsidRPr="0058616A">
        <w:rPr>
          <w:rFonts w:cstheme="minorHAnsi"/>
        </w:rPr>
        <w:t xml:space="preserve"> the disbursement and collection of loan repayments at the field level.</w:t>
      </w:r>
    </w:p>
    <w:p w14:paraId="30F5F16A" w14:textId="77777777" w:rsidR="003E75B8" w:rsidRPr="0058616A" w:rsidRDefault="003E75B8" w:rsidP="003E75B8">
      <w:pPr>
        <w:rPr>
          <w:rFonts w:cstheme="minorHAnsi"/>
          <w:bCs/>
        </w:rPr>
      </w:pPr>
      <w:r w:rsidRPr="0058616A">
        <w:rPr>
          <w:rFonts w:cstheme="minorHAnsi"/>
          <w:bCs/>
        </w:rPr>
        <w:t xml:space="preserve">The PKSF has considerable experience in managing Bank projects in various sectors, will play the main role in the development of private assets under the project. Under this project, the PKSF will be responsible for offering wholesale capital to around 60 </w:t>
      </w:r>
      <w:r w:rsidRPr="0058616A">
        <w:rPr>
          <w:rFonts w:cstheme="minorHAnsi"/>
        </w:rPr>
        <w:t>retail</w:t>
      </w:r>
      <w:r w:rsidRPr="0058616A">
        <w:rPr>
          <w:rFonts w:cstheme="minorHAnsi"/>
          <w:bCs/>
        </w:rPr>
        <w:t xml:space="preserve"> MFIs as financial </w:t>
      </w:r>
      <w:r w:rsidRPr="0058616A">
        <w:rPr>
          <w:rFonts w:cstheme="minorHAnsi"/>
          <w:noProof/>
        </w:rPr>
        <w:t>intermediary, w</w:t>
      </w:r>
      <w:r w:rsidRPr="0058616A">
        <w:rPr>
          <w:rFonts w:cstheme="minorHAnsi"/>
          <w:bCs/>
        </w:rPr>
        <w:t>hich in turn will give loans to households to upgrade the WASH facilities at their residence in the project areas. In addition, PKSF will extend capacity building support to retail MFIs and local entrepreneurs for creating demand and installing SDG 6 compliant WASH facilities.</w:t>
      </w:r>
      <w:r w:rsidRPr="0058616A">
        <w:rPr>
          <w:rFonts w:cstheme="minorHAnsi"/>
          <w:lang w:val="en-GB"/>
        </w:rPr>
        <w:t xml:space="preserve"> </w:t>
      </w:r>
    </w:p>
    <w:p w14:paraId="663B2AB3" w14:textId="77777777" w:rsidR="003E75B8" w:rsidRPr="0058616A" w:rsidRDefault="003E75B8" w:rsidP="003E75B8">
      <w:pPr>
        <w:autoSpaceDE w:val="0"/>
        <w:autoSpaceDN w:val="0"/>
        <w:adjustRightInd w:val="0"/>
        <w:spacing w:after="0" w:line="240" w:lineRule="auto"/>
        <w:jc w:val="both"/>
        <w:rPr>
          <w:rFonts w:cstheme="minorHAnsi"/>
          <w:lang w:val="en-GB"/>
        </w:rPr>
      </w:pPr>
    </w:p>
    <w:p w14:paraId="06E201E7" w14:textId="77777777" w:rsidR="003E75B8" w:rsidRPr="0058616A" w:rsidRDefault="003E75B8" w:rsidP="003E75B8">
      <w:pPr>
        <w:autoSpaceDE w:val="0"/>
        <w:autoSpaceDN w:val="0"/>
        <w:adjustRightInd w:val="0"/>
        <w:spacing w:after="120" w:line="240" w:lineRule="auto"/>
        <w:rPr>
          <w:rFonts w:cstheme="minorHAnsi"/>
          <w:b/>
        </w:rPr>
      </w:pPr>
      <w:r w:rsidRPr="0058616A">
        <w:rPr>
          <w:rFonts w:cstheme="minorHAnsi"/>
          <w:b/>
        </w:rPr>
        <w:t xml:space="preserve">PKSF Partners </w:t>
      </w:r>
      <w:r w:rsidR="00327F79" w:rsidRPr="0058616A">
        <w:rPr>
          <w:rFonts w:cstheme="minorHAnsi"/>
          <w:b/>
        </w:rPr>
        <w:t>(microfinance</w:t>
      </w:r>
      <w:r w:rsidRPr="0058616A">
        <w:rPr>
          <w:rFonts w:cstheme="minorHAnsi"/>
          <w:b/>
        </w:rPr>
        <w:t xml:space="preserve"> Institution) since 2015</w:t>
      </w:r>
    </w:p>
    <w:tbl>
      <w:tblPr>
        <w:tblW w:w="5008" w:type="pct"/>
        <w:tblInd w:w="-5" w:type="dxa"/>
        <w:tblLayout w:type="fixed"/>
        <w:tblCellMar>
          <w:left w:w="0" w:type="dxa"/>
          <w:right w:w="0" w:type="dxa"/>
        </w:tblCellMar>
        <w:tblLook w:val="0600" w:firstRow="0" w:lastRow="0" w:firstColumn="0" w:lastColumn="0" w:noHBand="1" w:noVBand="1"/>
      </w:tblPr>
      <w:tblGrid>
        <w:gridCol w:w="3776"/>
        <w:gridCol w:w="1080"/>
        <w:gridCol w:w="1080"/>
        <w:gridCol w:w="90"/>
        <w:gridCol w:w="990"/>
        <w:gridCol w:w="1080"/>
        <w:gridCol w:w="1259"/>
      </w:tblGrid>
      <w:tr w:rsidR="003E75B8" w:rsidRPr="0058616A" w14:paraId="4A63F555" w14:textId="77777777" w:rsidTr="00E75B01">
        <w:trPr>
          <w:trHeight w:val="461"/>
        </w:trPr>
        <w:tc>
          <w:tcPr>
            <w:tcW w:w="2018" w:type="pct"/>
            <w:tcBorders>
              <w:top w:val="single" w:sz="8" w:space="0" w:color="000000"/>
              <w:left w:val="single" w:sz="8" w:space="0" w:color="000000"/>
              <w:bottom w:val="single" w:sz="4" w:space="0" w:color="000000"/>
              <w:right w:val="single" w:sz="8" w:space="0" w:color="CCCCFF"/>
            </w:tcBorders>
            <w:shd w:val="clear" w:color="auto" w:fill="333399"/>
            <w:tcMar>
              <w:top w:w="15" w:type="dxa"/>
              <w:left w:w="15" w:type="dxa"/>
              <w:bottom w:w="0" w:type="dxa"/>
              <w:right w:w="15" w:type="dxa"/>
            </w:tcMar>
            <w:vAlign w:val="center"/>
            <w:hideMark/>
          </w:tcPr>
          <w:p w14:paraId="276FAB79" w14:textId="77777777" w:rsidR="003E75B8" w:rsidRPr="0058616A" w:rsidRDefault="003E75B8" w:rsidP="00E75B01">
            <w:pPr>
              <w:autoSpaceDE w:val="0"/>
              <w:autoSpaceDN w:val="0"/>
              <w:adjustRightInd w:val="0"/>
              <w:spacing w:after="0" w:line="240" w:lineRule="auto"/>
              <w:rPr>
                <w:rFonts w:cstheme="minorHAnsi"/>
              </w:rPr>
            </w:pPr>
            <w:r w:rsidRPr="0058616A">
              <w:rPr>
                <w:rFonts w:cstheme="minorHAnsi"/>
                <w:b/>
                <w:bCs/>
              </w:rPr>
              <w:t> </w:t>
            </w:r>
          </w:p>
        </w:tc>
        <w:tc>
          <w:tcPr>
            <w:tcW w:w="577" w:type="pct"/>
            <w:tcBorders>
              <w:top w:val="single" w:sz="8" w:space="0" w:color="000000"/>
              <w:left w:val="single" w:sz="8" w:space="0" w:color="000000"/>
              <w:bottom w:val="nil"/>
              <w:right w:val="single" w:sz="8" w:space="0" w:color="000000"/>
            </w:tcBorders>
            <w:shd w:val="clear" w:color="auto" w:fill="333399"/>
            <w:tcMar>
              <w:top w:w="15" w:type="dxa"/>
              <w:left w:w="15" w:type="dxa"/>
              <w:bottom w:w="0" w:type="dxa"/>
              <w:right w:w="15" w:type="dxa"/>
            </w:tcMar>
            <w:vAlign w:val="center"/>
          </w:tcPr>
          <w:p w14:paraId="02120F69" w14:textId="77777777" w:rsidR="003E75B8" w:rsidRPr="0058616A" w:rsidRDefault="003E75B8" w:rsidP="00E75B01">
            <w:pPr>
              <w:autoSpaceDE w:val="0"/>
              <w:autoSpaceDN w:val="0"/>
              <w:adjustRightInd w:val="0"/>
              <w:spacing w:after="0" w:line="240" w:lineRule="auto"/>
              <w:jc w:val="center"/>
              <w:rPr>
                <w:rFonts w:cstheme="minorHAnsi"/>
              </w:rPr>
            </w:pPr>
            <w:r w:rsidRPr="0058616A">
              <w:rPr>
                <w:rFonts w:cstheme="minorHAnsi"/>
              </w:rPr>
              <w:t>2015</w:t>
            </w:r>
          </w:p>
        </w:tc>
        <w:tc>
          <w:tcPr>
            <w:tcW w:w="625" w:type="pct"/>
            <w:gridSpan w:val="2"/>
            <w:tcBorders>
              <w:top w:val="single" w:sz="8" w:space="0" w:color="000000"/>
              <w:left w:val="single" w:sz="8" w:space="0" w:color="000000"/>
              <w:bottom w:val="nil"/>
              <w:right w:val="single" w:sz="8" w:space="0" w:color="000000"/>
            </w:tcBorders>
            <w:shd w:val="clear" w:color="auto" w:fill="333399"/>
            <w:tcMar>
              <w:top w:w="15" w:type="dxa"/>
              <w:left w:w="15" w:type="dxa"/>
              <w:bottom w:w="0" w:type="dxa"/>
              <w:right w:w="15" w:type="dxa"/>
            </w:tcMar>
            <w:vAlign w:val="center"/>
            <w:hideMark/>
          </w:tcPr>
          <w:p w14:paraId="09E5E971" w14:textId="77777777" w:rsidR="003E75B8" w:rsidRPr="0058616A" w:rsidRDefault="003E75B8" w:rsidP="00E75B01">
            <w:pPr>
              <w:autoSpaceDE w:val="0"/>
              <w:autoSpaceDN w:val="0"/>
              <w:adjustRightInd w:val="0"/>
              <w:spacing w:after="0" w:line="240" w:lineRule="auto"/>
              <w:jc w:val="center"/>
              <w:rPr>
                <w:rFonts w:cstheme="minorHAnsi"/>
              </w:rPr>
            </w:pPr>
            <w:r w:rsidRPr="0058616A">
              <w:rPr>
                <w:rFonts w:cstheme="minorHAnsi"/>
                <w:b/>
                <w:bCs/>
              </w:rPr>
              <w:t>2016</w:t>
            </w:r>
          </w:p>
        </w:tc>
        <w:tc>
          <w:tcPr>
            <w:tcW w:w="529" w:type="pct"/>
            <w:tcBorders>
              <w:top w:val="single" w:sz="8" w:space="0" w:color="000000"/>
              <w:left w:val="single" w:sz="8" w:space="0" w:color="000000"/>
              <w:bottom w:val="nil"/>
              <w:right w:val="single" w:sz="8" w:space="0" w:color="000000"/>
            </w:tcBorders>
            <w:shd w:val="clear" w:color="auto" w:fill="333399"/>
            <w:tcMar>
              <w:top w:w="15" w:type="dxa"/>
              <w:left w:w="15" w:type="dxa"/>
              <w:bottom w:w="0" w:type="dxa"/>
              <w:right w:w="15" w:type="dxa"/>
            </w:tcMar>
            <w:vAlign w:val="center"/>
            <w:hideMark/>
          </w:tcPr>
          <w:p w14:paraId="543953AB" w14:textId="77777777" w:rsidR="003E75B8" w:rsidRPr="0058616A" w:rsidRDefault="003E75B8" w:rsidP="00E75B01">
            <w:pPr>
              <w:autoSpaceDE w:val="0"/>
              <w:autoSpaceDN w:val="0"/>
              <w:adjustRightInd w:val="0"/>
              <w:spacing w:after="0" w:line="240" w:lineRule="auto"/>
              <w:jc w:val="center"/>
              <w:rPr>
                <w:rFonts w:cstheme="minorHAnsi"/>
              </w:rPr>
            </w:pPr>
            <w:r w:rsidRPr="0058616A">
              <w:rPr>
                <w:rFonts w:cstheme="minorHAnsi"/>
                <w:b/>
                <w:bCs/>
              </w:rPr>
              <w:t>2017</w:t>
            </w:r>
          </w:p>
        </w:tc>
        <w:tc>
          <w:tcPr>
            <w:tcW w:w="577" w:type="pct"/>
            <w:tcBorders>
              <w:top w:val="single" w:sz="8" w:space="0" w:color="000000"/>
              <w:left w:val="single" w:sz="8" w:space="0" w:color="000000"/>
              <w:bottom w:val="nil"/>
              <w:right w:val="single" w:sz="8" w:space="0" w:color="000000"/>
            </w:tcBorders>
            <w:shd w:val="clear" w:color="auto" w:fill="333399"/>
            <w:vAlign w:val="center"/>
          </w:tcPr>
          <w:p w14:paraId="364B99C2" w14:textId="77777777" w:rsidR="003E75B8" w:rsidRPr="0058616A" w:rsidRDefault="003E75B8" w:rsidP="00E75B01">
            <w:pPr>
              <w:autoSpaceDE w:val="0"/>
              <w:autoSpaceDN w:val="0"/>
              <w:adjustRightInd w:val="0"/>
              <w:spacing w:after="0" w:line="240" w:lineRule="auto"/>
              <w:jc w:val="center"/>
              <w:rPr>
                <w:rFonts w:cstheme="minorHAnsi"/>
                <w:b/>
                <w:bCs/>
              </w:rPr>
            </w:pPr>
            <w:r w:rsidRPr="0058616A">
              <w:rPr>
                <w:rFonts w:cstheme="minorHAnsi"/>
                <w:b/>
                <w:bCs/>
              </w:rPr>
              <w:t>2018</w:t>
            </w:r>
          </w:p>
        </w:tc>
        <w:tc>
          <w:tcPr>
            <w:tcW w:w="673" w:type="pct"/>
            <w:tcBorders>
              <w:top w:val="single" w:sz="8" w:space="0" w:color="000000"/>
              <w:left w:val="single" w:sz="8" w:space="0" w:color="000000"/>
              <w:bottom w:val="nil"/>
              <w:right w:val="single" w:sz="8" w:space="0" w:color="000000"/>
            </w:tcBorders>
            <w:shd w:val="clear" w:color="auto" w:fill="333399"/>
            <w:vAlign w:val="center"/>
          </w:tcPr>
          <w:p w14:paraId="0D567F72" w14:textId="77777777" w:rsidR="003E75B8" w:rsidRPr="0058616A" w:rsidRDefault="003E75B8" w:rsidP="00E75B01">
            <w:pPr>
              <w:autoSpaceDE w:val="0"/>
              <w:autoSpaceDN w:val="0"/>
              <w:adjustRightInd w:val="0"/>
              <w:spacing w:after="0" w:line="240" w:lineRule="auto"/>
              <w:jc w:val="center"/>
              <w:rPr>
                <w:rFonts w:cstheme="minorHAnsi"/>
                <w:b/>
                <w:bCs/>
              </w:rPr>
            </w:pPr>
            <w:r w:rsidRPr="0058616A">
              <w:rPr>
                <w:rFonts w:cstheme="minorHAnsi"/>
                <w:b/>
                <w:bCs/>
              </w:rPr>
              <w:t>2019</w:t>
            </w:r>
          </w:p>
        </w:tc>
      </w:tr>
      <w:tr w:rsidR="003E75B8" w:rsidRPr="0058616A" w14:paraId="3845D6CA" w14:textId="77777777" w:rsidTr="00E75B01">
        <w:trPr>
          <w:trHeight w:val="288"/>
        </w:trPr>
        <w:tc>
          <w:tcPr>
            <w:tcW w:w="201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7C78B34" w14:textId="77777777" w:rsidR="003E75B8" w:rsidRPr="0058616A" w:rsidRDefault="003E75B8" w:rsidP="00E75B01">
            <w:pPr>
              <w:autoSpaceDE w:val="0"/>
              <w:autoSpaceDN w:val="0"/>
              <w:adjustRightInd w:val="0"/>
              <w:spacing w:after="0" w:line="240" w:lineRule="auto"/>
              <w:rPr>
                <w:rFonts w:cstheme="minorHAnsi"/>
              </w:rPr>
            </w:pPr>
            <w:r w:rsidRPr="0058616A">
              <w:rPr>
                <w:rFonts w:cstheme="minorHAnsi"/>
              </w:rPr>
              <w:t xml:space="preserve"> MFI partner organizations of PKSF </w:t>
            </w:r>
          </w:p>
        </w:tc>
        <w:tc>
          <w:tcPr>
            <w:tcW w:w="577" w:type="pct"/>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3D34351D" w14:textId="77777777" w:rsidR="003E75B8" w:rsidRPr="0058616A" w:rsidRDefault="003E75B8" w:rsidP="00E75B01">
            <w:pPr>
              <w:spacing w:after="0" w:line="240" w:lineRule="auto"/>
              <w:jc w:val="center"/>
              <w:rPr>
                <w:rFonts w:cstheme="minorHAnsi"/>
              </w:rPr>
            </w:pPr>
            <w:r w:rsidRPr="0058616A">
              <w:rPr>
                <w:rFonts w:cstheme="minorHAnsi"/>
              </w:rPr>
              <w:t>274</w:t>
            </w:r>
          </w:p>
        </w:tc>
        <w:tc>
          <w:tcPr>
            <w:tcW w:w="577" w:type="pct"/>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16E670AE" w14:textId="77777777" w:rsidR="003E75B8" w:rsidRPr="0058616A" w:rsidRDefault="003E75B8" w:rsidP="00E75B01">
            <w:pPr>
              <w:spacing w:after="0" w:line="240" w:lineRule="auto"/>
              <w:jc w:val="center"/>
              <w:rPr>
                <w:rFonts w:cstheme="minorHAnsi"/>
              </w:rPr>
            </w:pPr>
            <w:r w:rsidRPr="0058616A">
              <w:rPr>
                <w:rFonts w:cstheme="minorHAnsi"/>
              </w:rPr>
              <w:t>275</w:t>
            </w:r>
          </w:p>
        </w:tc>
        <w:tc>
          <w:tcPr>
            <w:tcW w:w="577" w:type="pct"/>
            <w:gridSpan w:val="2"/>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17D8034" w14:textId="77777777" w:rsidR="003E75B8" w:rsidRPr="0058616A" w:rsidRDefault="003E75B8" w:rsidP="00E75B01">
            <w:pPr>
              <w:spacing w:after="0" w:line="240" w:lineRule="auto"/>
              <w:jc w:val="center"/>
              <w:rPr>
                <w:rFonts w:cstheme="minorHAnsi"/>
              </w:rPr>
            </w:pPr>
            <w:r w:rsidRPr="0058616A">
              <w:rPr>
                <w:rFonts w:cstheme="minorHAnsi"/>
              </w:rPr>
              <w:t>277</w:t>
            </w:r>
          </w:p>
        </w:tc>
        <w:tc>
          <w:tcPr>
            <w:tcW w:w="577" w:type="pct"/>
            <w:tcBorders>
              <w:top w:val="nil"/>
              <w:left w:val="single" w:sz="4" w:space="0" w:color="000000"/>
              <w:bottom w:val="single" w:sz="4" w:space="0" w:color="000000"/>
              <w:right w:val="single" w:sz="4" w:space="0" w:color="000000"/>
            </w:tcBorders>
            <w:vAlign w:val="center"/>
          </w:tcPr>
          <w:p w14:paraId="66AC1F2F" w14:textId="77777777" w:rsidR="003E75B8" w:rsidRPr="0058616A" w:rsidRDefault="003E75B8" w:rsidP="00E75B01">
            <w:pPr>
              <w:spacing w:after="0" w:line="240" w:lineRule="auto"/>
              <w:jc w:val="center"/>
              <w:rPr>
                <w:rFonts w:cstheme="minorHAnsi"/>
              </w:rPr>
            </w:pPr>
            <w:r w:rsidRPr="0058616A">
              <w:rPr>
                <w:rFonts w:cstheme="minorHAnsi"/>
              </w:rPr>
              <w:t>277</w:t>
            </w:r>
          </w:p>
        </w:tc>
        <w:tc>
          <w:tcPr>
            <w:tcW w:w="673" w:type="pct"/>
            <w:tcBorders>
              <w:top w:val="nil"/>
              <w:left w:val="single" w:sz="4" w:space="0" w:color="000000"/>
              <w:bottom w:val="single" w:sz="4" w:space="0" w:color="000000"/>
              <w:right w:val="single" w:sz="4" w:space="0" w:color="000000"/>
            </w:tcBorders>
            <w:vAlign w:val="center"/>
          </w:tcPr>
          <w:p w14:paraId="7435352C" w14:textId="77777777" w:rsidR="003E75B8" w:rsidRPr="0058616A" w:rsidRDefault="003E75B8" w:rsidP="00E75B01">
            <w:pPr>
              <w:spacing w:after="0" w:line="240" w:lineRule="auto"/>
              <w:jc w:val="center"/>
              <w:rPr>
                <w:rFonts w:cstheme="minorHAnsi"/>
              </w:rPr>
            </w:pPr>
            <w:r w:rsidRPr="0058616A">
              <w:rPr>
                <w:rFonts w:cstheme="minorHAnsi"/>
              </w:rPr>
              <w:t>278</w:t>
            </w:r>
          </w:p>
        </w:tc>
      </w:tr>
      <w:tr w:rsidR="003E75B8" w:rsidRPr="0058616A" w14:paraId="66CFF0F5" w14:textId="77777777" w:rsidTr="00E75B01">
        <w:trPr>
          <w:trHeight w:val="288"/>
        </w:trPr>
        <w:tc>
          <w:tcPr>
            <w:tcW w:w="201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A4DDC52" w14:textId="77777777" w:rsidR="003E75B8" w:rsidRPr="0058616A" w:rsidRDefault="003E75B8" w:rsidP="00E75B01">
            <w:pPr>
              <w:autoSpaceDE w:val="0"/>
              <w:autoSpaceDN w:val="0"/>
              <w:adjustRightInd w:val="0"/>
              <w:spacing w:after="0" w:line="240" w:lineRule="auto"/>
              <w:rPr>
                <w:rFonts w:cstheme="minorHAnsi"/>
              </w:rPr>
            </w:pPr>
            <w:r w:rsidRPr="0058616A">
              <w:rPr>
                <w:rFonts w:cstheme="minorHAnsi"/>
              </w:rPr>
              <w:t>Total Members (Million)</w:t>
            </w:r>
          </w:p>
        </w:tc>
        <w:tc>
          <w:tcPr>
            <w:tcW w:w="57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80A26EE" w14:textId="77777777" w:rsidR="003E75B8" w:rsidRPr="0058616A" w:rsidRDefault="003E75B8" w:rsidP="00E75B01">
            <w:pPr>
              <w:spacing w:after="0" w:line="240" w:lineRule="auto"/>
              <w:jc w:val="center"/>
              <w:rPr>
                <w:rFonts w:cstheme="minorHAnsi"/>
              </w:rPr>
            </w:pPr>
            <w:r w:rsidRPr="0058616A">
              <w:rPr>
                <w:rFonts w:cstheme="minorHAnsi"/>
              </w:rPr>
              <w:t>11.12</w:t>
            </w:r>
          </w:p>
        </w:tc>
        <w:tc>
          <w:tcPr>
            <w:tcW w:w="57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8845CF1" w14:textId="77777777" w:rsidR="003E75B8" w:rsidRPr="0058616A" w:rsidRDefault="003E75B8" w:rsidP="00E75B01">
            <w:pPr>
              <w:spacing w:after="0" w:line="240" w:lineRule="auto"/>
              <w:jc w:val="center"/>
              <w:rPr>
                <w:rFonts w:cstheme="minorHAnsi"/>
              </w:rPr>
            </w:pPr>
            <w:r w:rsidRPr="0058616A">
              <w:rPr>
                <w:rFonts w:cstheme="minorHAnsi"/>
              </w:rPr>
              <w:t>11.98</w:t>
            </w:r>
          </w:p>
        </w:tc>
        <w:tc>
          <w:tcPr>
            <w:tcW w:w="577"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18EE5348" w14:textId="77777777" w:rsidR="003E75B8" w:rsidRPr="0058616A" w:rsidRDefault="003E75B8" w:rsidP="00E75B01">
            <w:pPr>
              <w:spacing w:after="0" w:line="240" w:lineRule="auto"/>
              <w:jc w:val="center"/>
              <w:rPr>
                <w:rFonts w:cstheme="minorHAnsi"/>
              </w:rPr>
            </w:pPr>
            <w:r w:rsidRPr="0058616A">
              <w:rPr>
                <w:rFonts w:cstheme="minorHAnsi"/>
              </w:rPr>
              <w:t>12.71</w:t>
            </w:r>
          </w:p>
        </w:tc>
        <w:tc>
          <w:tcPr>
            <w:tcW w:w="577" w:type="pct"/>
            <w:tcBorders>
              <w:top w:val="single" w:sz="4" w:space="0" w:color="000000"/>
              <w:left w:val="single" w:sz="4" w:space="0" w:color="000000"/>
              <w:bottom w:val="single" w:sz="4" w:space="0" w:color="000000"/>
              <w:right w:val="single" w:sz="4" w:space="0" w:color="000000"/>
            </w:tcBorders>
            <w:vAlign w:val="center"/>
          </w:tcPr>
          <w:p w14:paraId="09FDC0CF" w14:textId="77777777" w:rsidR="003E75B8" w:rsidRPr="0058616A" w:rsidRDefault="003E75B8" w:rsidP="00E75B01">
            <w:pPr>
              <w:spacing w:after="0" w:line="240" w:lineRule="auto"/>
              <w:jc w:val="center"/>
              <w:rPr>
                <w:rFonts w:cstheme="minorHAnsi"/>
              </w:rPr>
            </w:pPr>
            <w:r w:rsidRPr="0058616A">
              <w:rPr>
                <w:rFonts w:cstheme="minorHAnsi"/>
              </w:rPr>
              <w:t>13.24</w:t>
            </w:r>
          </w:p>
        </w:tc>
        <w:tc>
          <w:tcPr>
            <w:tcW w:w="673" w:type="pct"/>
            <w:tcBorders>
              <w:top w:val="single" w:sz="4" w:space="0" w:color="000000"/>
              <w:left w:val="single" w:sz="4" w:space="0" w:color="000000"/>
              <w:bottom w:val="single" w:sz="4" w:space="0" w:color="000000"/>
              <w:right w:val="single" w:sz="4" w:space="0" w:color="000000"/>
            </w:tcBorders>
            <w:vAlign w:val="center"/>
          </w:tcPr>
          <w:p w14:paraId="66DA7BE5" w14:textId="77777777" w:rsidR="003E75B8" w:rsidRPr="0058616A" w:rsidRDefault="003E75B8" w:rsidP="00E75B01">
            <w:pPr>
              <w:spacing w:after="0" w:line="240" w:lineRule="auto"/>
              <w:jc w:val="center"/>
              <w:rPr>
                <w:rFonts w:cstheme="minorHAnsi"/>
              </w:rPr>
            </w:pPr>
            <w:r w:rsidRPr="0058616A">
              <w:rPr>
                <w:rFonts w:cstheme="minorHAnsi"/>
              </w:rPr>
              <w:t>13.91</w:t>
            </w:r>
          </w:p>
        </w:tc>
      </w:tr>
      <w:tr w:rsidR="003E75B8" w:rsidRPr="0058616A" w14:paraId="72023A9B" w14:textId="77777777" w:rsidTr="00E75B01">
        <w:trPr>
          <w:trHeight w:val="288"/>
        </w:trPr>
        <w:tc>
          <w:tcPr>
            <w:tcW w:w="201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25BCF01" w14:textId="77777777" w:rsidR="003E75B8" w:rsidRPr="0058616A" w:rsidRDefault="003E75B8" w:rsidP="00E75B01">
            <w:pPr>
              <w:autoSpaceDE w:val="0"/>
              <w:autoSpaceDN w:val="0"/>
              <w:adjustRightInd w:val="0"/>
              <w:spacing w:after="0" w:line="240" w:lineRule="auto"/>
              <w:rPr>
                <w:rFonts w:cstheme="minorHAnsi"/>
              </w:rPr>
            </w:pPr>
            <w:r w:rsidRPr="0058616A">
              <w:rPr>
                <w:rFonts w:cstheme="minorHAnsi"/>
              </w:rPr>
              <w:t>Total borrowers (Million)</w:t>
            </w:r>
          </w:p>
        </w:tc>
        <w:tc>
          <w:tcPr>
            <w:tcW w:w="57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72137B3" w14:textId="77777777" w:rsidR="003E75B8" w:rsidRPr="0058616A" w:rsidRDefault="003E75B8" w:rsidP="00E75B01">
            <w:pPr>
              <w:spacing w:after="0" w:line="240" w:lineRule="auto"/>
              <w:jc w:val="center"/>
              <w:rPr>
                <w:rFonts w:cstheme="minorHAnsi"/>
              </w:rPr>
            </w:pPr>
            <w:r w:rsidRPr="0058616A">
              <w:rPr>
                <w:rFonts w:cstheme="minorHAnsi"/>
              </w:rPr>
              <w:t>8.55</w:t>
            </w:r>
          </w:p>
        </w:tc>
        <w:tc>
          <w:tcPr>
            <w:tcW w:w="57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0629BCE" w14:textId="77777777" w:rsidR="003E75B8" w:rsidRPr="0058616A" w:rsidRDefault="003E75B8" w:rsidP="00E75B01">
            <w:pPr>
              <w:spacing w:after="0" w:line="240" w:lineRule="auto"/>
              <w:jc w:val="center"/>
              <w:rPr>
                <w:rFonts w:cstheme="minorHAnsi"/>
              </w:rPr>
            </w:pPr>
            <w:r w:rsidRPr="0058616A">
              <w:rPr>
                <w:rFonts w:cstheme="minorHAnsi"/>
              </w:rPr>
              <w:t>9.39</w:t>
            </w:r>
          </w:p>
        </w:tc>
        <w:tc>
          <w:tcPr>
            <w:tcW w:w="577"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1FFF625" w14:textId="77777777" w:rsidR="003E75B8" w:rsidRPr="0058616A" w:rsidRDefault="003E75B8" w:rsidP="00E75B01">
            <w:pPr>
              <w:spacing w:after="0" w:line="240" w:lineRule="auto"/>
              <w:jc w:val="center"/>
              <w:rPr>
                <w:rFonts w:cstheme="minorHAnsi"/>
              </w:rPr>
            </w:pPr>
            <w:r w:rsidRPr="0058616A">
              <w:rPr>
                <w:rFonts w:cstheme="minorHAnsi"/>
              </w:rPr>
              <w:t>9.97</w:t>
            </w:r>
          </w:p>
        </w:tc>
        <w:tc>
          <w:tcPr>
            <w:tcW w:w="577" w:type="pct"/>
            <w:tcBorders>
              <w:top w:val="single" w:sz="4" w:space="0" w:color="000000"/>
              <w:left w:val="single" w:sz="4" w:space="0" w:color="000000"/>
              <w:bottom w:val="single" w:sz="4" w:space="0" w:color="000000"/>
              <w:right w:val="single" w:sz="4" w:space="0" w:color="000000"/>
            </w:tcBorders>
            <w:vAlign w:val="center"/>
          </w:tcPr>
          <w:p w14:paraId="7392A7C7" w14:textId="77777777" w:rsidR="003E75B8" w:rsidRPr="0058616A" w:rsidRDefault="003E75B8" w:rsidP="00E75B01">
            <w:pPr>
              <w:spacing w:after="0" w:line="240" w:lineRule="auto"/>
              <w:jc w:val="center"/>
              <w:rPr>
                <w:rFonts w:cstheme="minorHAnsi"/>
              </w:rPr>
            </w:pPr>
            <w:r w:rsidRPr="0058616A">
              <w:rPr>
                <w:rFonts w:cstheme="minorHAnsi"/>
              </w:rPr>
              <w:t>10.38</w:t>
            </w:r>
          </w:p>
        </w:tc>
        <w:tc>
          <w:tcPr>
            <w:tcW w:w="673" w:type="pct"/>
            <w:tcBorders>
              <w:top w:val="single" w:sz="4" w:space="0" w:color="000000"/>
              <w:left w:val="single" w:sz="4" w:space="0" w:color="000000"/>
              <w:bottom w:val="single" w:sz="4" w:space="0" w:color="000000"/>
              <w:right w:val="single" w:sz="4" w:space="0" w:color="000000"/>
            </w:tcBorders>
            <w:vAlign w:val="center"/>
          </w:tcPr>
          <w:p w14:paraId="5C3B824A" w14:textId="77777777" w:rsidR="003E75B8" w:rsidRPr="0058616A" w:rsidRDefault="003E75B8" w:rsidP="00E75B01">
            <w:pPr>
              <w:spacing w:after="0" w:line="240" w:lineRule="auto"/>
              <w:jc w:val="center"/>
              <w:rPr>
                <w:rFonts w:cstheme="minorHAnsi"/>
              </w:rPr>
            </w:pPr>
            <w:r w:rsidRPr="0058616A">
              <w:rPr>
                <w:rFonts w:cstheme="minorHAnsi"/>
              </w:rPr>
              <w:t>10.78</w:t>
            </w:r>
          </w:p>
        </w:tc>
      </w:tr>
      <w:tr w:rsidR="003E75B8" w:rsidRPr="0058616A" w14:paraId="16947F2C" w14:textId="77777777" w:rsidTr="00E75B01">
        <w:trPr>
          <w:trHeight w:val="288"/>
        </w:trPr>
        <w:tc>
          <w:tcPr>
            <w:tcW w:w="201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A8F3176" w14:textId="77777777" w:rsidR="003E75B8" w:rsidRPr="0058616A" w:rsidRDefault="003E75B8" w:rsidP="00E75B01">
            <w:pPr>
              <w:autoSpaceDE w:val="0"/>
              <w:autoSpaceDN w:val="0"/>
              <w:adjustRightInd w:val="0"/>
              <w:spacing w:after="0" w:line="240" w:lineRule="auto"/>
              <w:rPr>
                <w:rFonts w:cstheme="minorHAnsi"/>
              </w:rPr>
            </w:pPr>
            <w:r w:rsidRPr="0058616A">
              <w:rPr>
                <w:rFonts w:cstheme="minorHAnsi"/>
              </w:rPr>
              <w:t>*Loan Disbursement (US$ Billion)</w:t>
            </w:r>
          </w:p>
        </w:tc>
        <w:tc>
          <w:tcPr>
            <w:tcW w:w="57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42695E19" w14:textId="77777777" w:rsidR="003E75B8" w:rsidRPr="0058616A" w:rsidRDefault="003E75B8" w:rsidP="00E75B01">
            <w:pPr>
              <w:jc w:val="center"/>
              <w:rPr>
                <w:rFonts w:cstheme="minorHAnsi"/>
                <w:color w:val="000000"/>
              </w:rPr>
            </w:pPr>
            <w:r w:rsidRPr="0058616A">
              <w:rPr>
                <w:rFonts w:cstheme="minorHAnsi"/>
                <w:color w:val="000000"/>
              </w:rPr>
              <w:t>25.31</w:t>
            </w:r>
          </w:p>
        </w:tc>
        <w:tc>
          <w:tcPr>
            <w:tcW w:w="57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5F4BC3F1" w14:textId="77777777" w:rsidR="003E75B8" w:rsidRPr="0058616A" w:rsidRDefault="003E75B8" w:rsidP="00E75B01">
            <w:pPr>
              <w:jc w:val="center"/>
              <w:rPr>
                <w:rFonts w:cstheme="minorHAnsi"/>
                <w:color w:val="000000"/>
              </w:rPr>
            </w:pPr>
            <w:r w:rsidRPr="0058616A">
              <w:rPr>
                <w:rFonts w:cstheme="minorHAnsi"/>
                <w:color w:val="000000"/>
              </w:rPr>
              <w:t>28.62</w:t>
            </w:r>
          </w:p>
        </w:tc>
        <w:tc>
          <w:tcPr>
            <w:tcW w:w="577"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78A8CCBD" w14:textId="77777777" w:rsidR="003E75B8" w:rsidRPr="0058616A" w:rsidRDefault="003E75B8" w:rsidP="00E75B01">
            <w:pPr>
              <w:jc w:val="center"/>
              <w:rPr>
                <w:rFonts w:cstheme="minorHAnsi"/>
                <w:color w:val="000000"/>
              </w:rPr>
            </w:pPr>
            <w:r w:rsidRPr="0058616A">
              <w:rPr>
                <w:rFonts w:cstheme="minorHAnsi"/>
                <w:color w:val="000000"/>
              </w:rPr>
              <w:t>32.42</w:t>
            </w:r>
          </w:p>
        </w:tc>
        <w:tc>
          <w:tcPr>
            <w:tcW w:w="577" w:type="pct"/>
            <w:tcBorders>
              <w:top w:val="single" w:sz="4" w:space="0" w:color="000000"/>
              <w:left w:val="single" w:sz="4" w:space="0" w:color="000000"/>
              <w:bottom w:val="single" w:sz="4" w:space="0" w:color="000000"/>
              <w:right w:val="single" w:sz="4" w:space="0" w:color="000000"/>
            </w:tcBorders>
            <w:vAlign w:val="bottom"/>
          </w:tcPr>
          <w:p w14:paraId="7EC366D7" w14:textId="77777777" w:rsidR="003E75B8" w:rsidRPr="0058616A" w:rsidRDefault="003E75B8" w:rsidP="00E75B01">
            <w:pPr>
              <w:jc w:val="center"/>
              <w:rPr>
                <w:rFonts w:cstheme="minorHAnsi"/>
                <w:color w:val="000000"/>
              </w:rPr>
            </w:pPr>
            <w:r w:rsidRPr="0058616A">
              <w:rPr>
                <w:rFonts w:cstheme="minorHAnsi"/>
                <w:color w:val="000000"/>
              </w:rPr>
              <w:t>36.58</w:t>
            </w:r>
          </w:p>
        </w:tc>
        <w:tc>
          <w:tcPr>
            <w:tcW w:w="673" w:type="pct"/>
            <w:tcBorders>
              <w:top w:val="single" w:sz="4" w:space="0" w:color="000000"/>
              <w:left w:val="single" w:sz="4" w:space="0" w:color="000000"/>
              <w:bottom w:val="single" w:sz="4" w:space="0" w:color="000000"/>
              <w:right w:val="single" w:sz="4" w:space="0" w:color="000000"/>
            </w:tcBorders>
            <w:vAlign w:val="bottom"/>
          </w:tcPr>
          <w:p w14:paraId="294D53CC" w14:textId="77777777" w:rsidR="003E75B8" w:rsidRPr="0058616A" w:rsidRDefault="003E75B8" w:rsidP="00E75B01">
            <w:pPr>
              <w:jc w:val="center"/>
              <w:rPr>
                <w:rFonts w:cstheme="minorHAnsi"/>
                <w:color w:val="000000"/>
              </w:rPr>
            </w:pPr>
            <w:r w:rsidRPr="0058616A">
              <w:rPr>
                <w:rFonts w:cstheme="minorHAnsi"/>
                <w:color w:val="000000"/>
              </w:rPr>
              <w:t>42.24</w:t>
            </w:r>
          </w:p>
        </w:tc>
      </w:tr>
      <w:tr w:rsidR="003E75B8" w:rsidRPr="0058616A" w14:paraId="78154E87" w14:textId="77777777" w:rsidTr="00E75B01">
        <w:trPr>
          <w:trHeight w:val="288"/>
        </w:trPr>
        <w:tc>
          <w:tcPr>
            <w:tcW w:w="201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9DF6817" w14:textId="77777777" w:rsidR="003E75B8" w:rsidRPr="0058616A" w:rsidRDefault="003E75B8" w:rsidP="00E75B01">
            <w:pPr>
              <w:autoSpaceDE w:val="0"/>
              <w:autoSpaceDN w:val="0"/>
              <w:adjustRightInd w:val="0"/>
              <w:spacing w:after="0" w:line="240" w:lineRule="auto"/>
              <w:rPr>
                <w:rFonts w:cstheme="minorHAnsi"/>
              </w:rPr>
            </w:pPr>
            <w:r w:rsidRPr="0058616A">
              <w:rPr>
                <w:rFonts w:cstheme="minorHAnsi"/>
              </w:rPr>
              <w:t>*Loan Outstanding (US$ Billion)</w:t>
            </w:r>
          </w:p>
        </w:tc>
        <w:tc>
          <w:tcPr>
            <w:tcW w:w="57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6AA92188" w14:textId="77777777" w:rsidR="003E75B8" w:rsidRPr="0058616A" w:rsidRDefault="003E75B8" w:rsidP="00E75B01">
            <w:pPr>
              <w:jc w:val="center"/>
              <w:rPr>
                <w:rFonts w:cstheme="minorHAnsi"/>
                <w:color w:val="000000"/>
              </w:rPr>
            </w:pPr>
            <w:r w:rsidRPr="0058616A">
              <w:rPr>
                <w:rFonts w:cstheme="minorHAnsi"/>
                <w:color w:val="000000"/>
              </w:rPr>
              <w:t>1.65</w:t>
            </w:r>
          </w:p>
        </w:tc>
        <w:tc>
          <w:tcPr>
            <w:tcW w:w="57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75783CD0" w14:textId="77777777" w:rsidR="003E75B8" w:rsidRPr="0058616A" w:rsidRDefault="003E75B8" w:rsidP="00E75B01">
            <w:pPr>
              <w:jc w:val="center"/>
              <w:rPr>
                <w:rFonts w:cstheme="minorHAnsi"/>
                <w:color w:val="000000"/>
              </w:rPr>
            </w:pPr>
            <w:r w:rsidRPr="0058616A">
              <w:rPr>
                <w:rFonts w:cstheme="minorHAnsi"/>
                <w:color w:val="000000"/>
              </w:rPr>
              <w:t>2.07</w:t>
            </w:r>
          </w:p>
        </w:tc>
        <w:tc>
          <w:tcPr>
            <w:tcW w:w="577"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20C1F2AC" w14:textId="77777777" w:rsidR="003E75B8" w:rsidRPr="0058616A" w:rsidRDefault="003E75B8" w:rsidP="00E75B01">
            <w:pPr>
              <w:jc w:val="center"/>
              <w:rPr>
                <w:rFonts w:cstheme="minorHAnsi"/>
                <w:color w:val="000000"/>
              </w:rPr>
            </w:pPr>
            <w:r w:rsidRPr="0058616A">
              <w:rPr>
                <w:rFonts w:cstheme="minorHAnsi"/>
                <w:color w:val="000000"/>
              </w:rPr>
              <w:t>2.62</w:t>
            </w:r>
          </w:p>
        </w:tc>
        <w:tc>
          <w:tcPr>
            <w:tcW w:w="577" w:type="pct"/>
            <w:tcBorders>
              <w:top w:val="single" w:sz="4" w:space="0" w:color="000000"/>
              <w:left w:val="single" w:sz="4" w:space="0" w:color="000000"/>
              <w:bottom w:val="single" w:sz="4" w:space="0" w:color="000000"/>
              <w:right w:val="single" w:sz="4" w:space="0" w:color="000000"/>
            </w:tcBorders>
            <w:vAlign w:val="bottom"/>
          </w:tcPr>
          <w:p w14:paraId="4B8774BE" w14:textId="77777777" w:rsidR="003E75B8" w:rsidRPr="0058616A" w:rsidRDefault="003E75B8" w:rsidP="00E75B01">
            <w:pPr>
              <w:jc w:val="center"/>
              <w:rPr>
                <w:rFonts w:cstheme="minorHAnsi"/>
                <w:color w:val="000000"/>
              </w:rPr>
            </w:pPr>
            <w:r w:rsidRPr="0058616A">
              <w:rPr>
                <w:rFonts w:cstheme="minorHAnsi"/>
                <w:color w:val="000000"/>
              </w:rPr>
              <w:t>2.99</w:t>
            </w:r>
          </w:p>
        </w:tc>
        <w:tc>
          <w:tcPr>
            <w:tcW w:w="673" w:type="pct"/>
            <w:tcBorders>
              <w:top w:val="single" w:sz="4" w:space="0" w:color="000000"/>
              <w:left w:val="single" w:sz="4" w:space="0" w:color="000000"/>
              <w:bottom w:val="single" w:sz="4" w:space="0" w:color="000000"/>
              <w:right w:val="single" w:sz="4" w:space="0" w:color="000000"/>
            </w:tcBorders>
            <w:vAlign w:val="bottom"/>
          </w:tcPr>
          <w:p w14:paraId="26968912" w14:textId="77777777" w:rsidR="003E75B8" w:rsidRPr="0058616A" w:rsidRDefault="003E75B8" w:rsidP="00E75B01">
            <w:pPr>
              <w:jc w:val="center"/>
              <w:rPr>
                <w:rFonts w:cstheme="minorHAnsi"/>
                <w:color w:val="000000"/>
              </w:rPr>
            </w:pPr>
            <w:r w:rsidRPr="0058616A">
              <w:rPr>
                <w:rFonts w:cstheme="minorHAnsi"/>
                <w:color w:val="000000"/>
              </w:rPr>
              <w:t>3.53</w:t>
            </w:r>
          </w:p>
        </w:tc>
      </w:tr>
      <w:tr w:rsidR="003E75B8" w:rsidRPr="0058616A" w14:paraId="4B3F882D" w14:textId="77777777" w:rsidTr="00E75B01">
        <w:trPr>
          <w:trHeight w:val="288"/>
        </w:trPr>
        <w:tc>
          <w:tcPr>
            <w:tcW w:w="201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4728CD3" w14:textId="77777777" w:rsidR="003E75B8" w:rsidRPr="0058616A" w:rsidRDefault="003E75B8" w:rsidP="00E75B01">
            <w:pPr>
              <w:autoSpaceDE w:val="0"/>
              <w:autoSpaceDN w:val="0"/>
              <w:adjustRightInd w:val="0"/>
              <w:spacing w:after="0" w:line="240" w:lineRule="auto"/>
              <w:rPr>
                <w:rFonts w:cstheme="minorHAnsi"/>
              </w:rPr>
            </w:pPr>
            <w:r w:rsidRPr="0058616A">
              <w:rPr>
                <w:rFonts w:cstheme="minorHAnsi"/>
              </w:rPr>
              <w:t>*Savings (US$ Billion)</w:t>
            </w:r>
          </w:p>
        </w:tc>
        <w:tc>
          <w:tcPr>
            <w:tcW w:w="57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19915731" w14:textId="77777777" w:rsidR="003E75B8" w:rsidRPr="0058616A" w:rsidRDefault="003E75B8" w:rsidP="00E75B01">
            <w:pPr>
              <w:jc w:val="center"/>
              <w:rPr>
                <w:rFonts w:cstheme="minorHAnsi"/>
                <w:color w:val="000000"/>
              </w:rPr>
            </w:pPr>
            <w:r w:rsidRPr="0058616A">
              <w:rPr>
                <w:rFonts w:cstheme="minorHAnsi"/>
                <w:color w:val="000000"/>
              </w:rPr>
              <w:t>0.64</w:t>
            </w:r>
          </w:p>
        </w:tc>
        <w:tc>
          <w:tcPr>
            <w:tcW w:w="57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77CAB2C9" w14:textId="77777777" w:rsidR="003E75B8" w:rsidRPr="0058616A" w:rsidRDefault="003E75B8" w:rsidP="00E75B01">
            <w:pPr>
              <w:jc w:val="center"/>
              <w:rPr>
                <w:rFonts w:cstheme="minorHAnsi"/>
                <w:color w:val="000000"/>
              </w:rPr>
            </w:pPr>
            <w:r w:rsidRPr="0058616A">
              <w:rPr>
                <w:rFonts w:cstheme="minorHAnsi"/>
                <w:color w:val="000000"/>
              </w:rPr>
              <w:t>0.77</w:t>
            </w:r>
          </w:p>
        </w:tc>
        <w:tc>
          <w:tcPr>
            <w:tcW w:w="577"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3639CDDE" w14:textId="77777777" w:rsidR="003E75B8" w:rsidRPr="0058616A" w:rsidRDefault="003E75B8" w:rsidP="00E75B01">
            <w:pPr>
              <w:jc w:val="center"/>
              <w:rPr>
                <w:rFonts w:cstheme="minorHAnsi"/>
                <w:color w:val="000000"/>
              </w:rPr>
            </w:pPr>
            <w:r w:rsidRPr="0058616A">
              <w:rPr>
                <w:rFonts w:cstheme="minorHAnsi"/>
                <w:color w:val="000000"/>
              </w:rPr>
              <w:t>0.94</w:t>
            </w:r>
          </w:p>
        </w:tc>
        <w:tc>
          <w:tcPr>
            <w:tcW w:w="577" w:type="pct"/>
            <w:tcBorders>
              <w:top w:val="single" w:sz="4" w:space="0" w:color="000000"/>
              <w:left w:val="single" w:sz="4" w:space="0" w:color="000000"/>
              <w:bottom w:val="single" w:sz="4" w:space="0" w:color="000000"/>
              <w:right w:val="single" w:sz="4" w:space="0" w:color="000000"/>
            </w:tcBorders>
            <w:vAlign w:val="bottom"/>
          </w:tcPr>
          <w:p w14:paraId="629B996F" w14:textId="77777777" w:rsidR="003E75B8" w:rsidRPr="0058616A" w:rsidRDefault="003E75B8" w:rsidP="00E75B01">
            <w:pPr>
              <w:jc w:val="center"/>
              <w:rPr>
                <w:rFonts w:cstheme="minorHAnsi"/>
                <w:color w:val="000000"/>
              </w:rPr>
            </w:pPr>
            <w:r w:rsidRPr="0058616A">
              <w:rPr>
                <w:rFonts w:cstheme="minorHAnsi"/>
                <w:color w:val="000000"/>
              </w:rPr>
              <w:t>1.10</w:t>
            </w:r>
          </w:p>
        </w:tc>
        <w:tc>
          <w:tcPr>
            <w:tcW w:w="673" w:type="pct"/>
            <w:tcBorders>
              <w:top w:val="single" w:sz="4" w:space="0" w:color="000000"/>
              <w:left w:val="single" w:sz="4" w:space="0" w:color="000000"/>
              <w:bottom w:val="single" w:sz="4" w:space="0" w:color="000000"/>
              <w:right w:val="single" w:sz="4" w:space="0" w:color="000000"/>
            </w:tcBorders>
            <w:vAlign w:val="bottom"/>
          </w:tcPr>
          <w:p w14:paraId="065A24B9" w14:textId="77777777" w:rsidR="003E75B8" w:rsidRPr="0058616A" w:rsidRDefault="003E75B8" w:rsidP="00E75B01">
            <w:pPr>
              <w:jc w:val="center"/>
              <w:rPr>
                <w:rFonts w:cstheme="minorHAnsi"/>
                <w:color w:val="000000"/>
              </w:rPr>
            </w:pPr>
            <w:r w:rsidRPr="0058616A">
              <w:rPr>
                <w:rFonts w:cstheme="minorHAnsi"/>
                <w:color w:val="000000"/>
              </w:rPr>
              <w:t>1.34</w:t>
            </w:r>
          </w:p>
        </w:tc>
      </w:tr>
    </w:tbl>
    <w:p w14:paraId="5F57FE50" w14:textId="6901B5B8" w:rsidR="003E75B8" w:rsidRDefault="003E75B8" w:rsidP="003E75B8">
      <w:pPr>
        <w:autoSpaceDE w:val="0"/>
        <w:autoSpaceDN w:val="0"/>
        <w:adjustRightInd w:val="0"/>
        <w:spacing w:after="0" w:line="240" w:lineRule="auto"/>
        <w:jc w:val="both"/>
        <w:rPr>
          <w:rFonts w:cstheme="minorHAnsi"/>
        </w:rPr>
      </w:pPr>
    </w:p>
    <w:p w14:paraId="01A54032" w14:textId="02F84DCD" w:rsidR="0043173B" w:rsidRPr="0043173B" w:rsidRDefault="0043173B" w:rsidP="0043173B">
      <w:pPr>
        <w:autoSpaceDE w:val="0"/>
        <w:autoSpaceDN w:val="0"/>
        <w:adjustRightInd w:val="0"/>
        <w:spacing w:after="240" w:line="240" w:lineRule="auto"/>
        <w:jc w:val="both"/>
        <w:rPr>
          <w:rFonts w:cstheme="minorHAnsi"/>
          <w:bCs/>
        </w:rPr>
      </w:pPr>
    </w:p>
    <w:p w14:paraId="4AFB6E78" w14:textId="05D7423F" w:rsidR="003E75B8" w:rsidRPr="0058616A" w:rsidRDefault="004E24CE" w:rsidP="003E75B8">
      <w:pPr>
        <w:autoSpaceDE w:val="0"/>
        <w:autoSpaceDN w:val="0"/>
        <w:adjustRightInd w:val="0"/>
        <w:spacing w:after="0" w:line="240" w:lineRule="auto"/>
        <w:jc w:val="both"/>
        <w:rPr>
          <w:rFonts w:cstheme="minorHAnsi"/>
          <w:lang w:val="en-GB"/>
        </w:rPr>
      </w:pPr>
      <w:r>
        <w:rPr>
          <w:rFonts w:cstheme="minorHAnsi"/>
          <w:b/>
        </w:rPr>
        <w:lastRenderedPageBreak/>
        <w:t>5</w:t>
      </w:r>
      <w:r w:rsidR="003E75B8" w:rsidRPr="0058616A">
        <w:rPr>
          <w:rFonts w:cstheme="minorHAnsi"/>
          <w:b/>
        </w:rPr>
        <w:t>. Assessment of PKSF</w:t>
      </w:r>
    </w:p>
    <w:p w14:paraId="2AC9D480" w14:textId="77777777" w:rsidR="003E75B8" w:rsidRPr="0058616A" w:rsidRDefault="003E75B8" w:rsidP="003E75B8">
      <w:pPr>
        <w:autoSpaceDE w:val="0"/>
        <w:autoSpaceDN w:val="0"/>
        <w:adjustRightInd w:val="0"/>
        <w:spacing w:after="0" w:line="240" w:lineRule="auto"/>
        <w:rPr>
          <w:rFonts w:cstheme="minorHAnsi"/>
          <w:b/>
        </w:rPr>
      </w:pPr>
      <w:r w:rsidRPr="0058616A">
        <w:rPr>
          <w:rFonts w:cstheme="minorHAnsi"/>
        </w:rPr>
        <w:t>A review of its financial performance indicates that PKSF is a viable financial institution (a) with good performance in terms of financial efficiency (return on assets, 4 percent), (b) strong capital adequacy (52 percent), (c) acceptable credit quality (NPL levels below 4 percent), (d) solid funding sources and diversification, and, (e) adequate institutional capacity and systems.  It is the view of the appraisal team that PKSF is qualified to act as wholesale organization for on-lending IDA funds to the microfinance sector.  There are already multiple precedents of PKSF performing this role utilizing IDA funds – dating back almost 20 years.  PKSF also continues to enjoy the support of the Government of Bangladesh.</w:t>
      </w:r>
    </w:p>
    <w:p w14:paraId="1BEA035A" w14:textId="77777777" w:rsidR="003E75B8" w:rsidRPr="0058616A" w:rsidRDefault="003E75B8" w:rsidP="003E75B8">
      <w:pPr>
        <w:autoSpaceDE w:val="0"/>
        <w:autoSpaceDN w:val="0"/>
        <w:adjustRightInd w:val="0"/>
        <w:spacing w:after="0" w:line="240" w:lineRule="auto"/>
        <w:jc w:val="both"/>
        <w:rPr>
          <w:rFonts w:cstheme="minorHAnsi"/>
          <w:b/>
        </w:rPr>
      </w:pPr>
    </w:p>
    <w:p w14:paraId="7B8F46CB" w14:textId="77777777" w:rsidR="003E75B8" w:rsidRPr="0058616A" w:rsidRDefault="003E75B8" w:rsidP="003E75B8">
      <w:pPr>
        <w:autoSpaceDE w:val="0"/>
        <w:autoSpaceDN w:val="0"/>
        <w:adjustRightInd w:val="0"/>
        <w:spacing w:after="0" w:line="240" w:lineRule="auto"/>
        <w:jc w:val="both"/>
        <w:rPr>
          <w:rFonts w:cstheme="minorHAnsi"/>
          <w:b/>
          <w:bCs/>
        </w:rPr>
      </w:pPr>
      <w:r w:rsidRPr="0058616A">
        <w:rPr>
          <w:rFonts w:cstheme="minorHAnsi"/>
          <w:b/>
          <w:bCs/>
        </w:rPr>
        <w:t xml:space="preserve">Summary of assessment </w:t>
      </w:r>
    </w:p>
    <w:p w14:paraId="4332FAA6" w14:textId="77777777" w:rsidR="003E75B8" w:rsidRPr="0058616A" w:rsidRDefault="003E75B8" w:rsidP="003E75B8">
      <w:pPr>
        <w:autoSpaceDE w:val="0"/>
        <w:autoSpaceDN w:val="0"/>
        <w:adjustRightInd w:val="0"/>
        <w:spacing w:after="0" w:line="240" w:lineRule="auto"/>
        <w:jc w:val="both"/>
        <w:rPr>
          <w:rFonts w:cstheme="minorHAnsi"/>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1"/>
        <w:gridCol w:w="7039"/>
      </w:tblGrid>
      <w:tr w:rsidR="00E637D6" w:rsidRPr="0058616A" w14:paraId="52987626" w14:textId="77777777" w:rsidTr="004871EA">
        <w:tc>
          <w:tcPr>
            <w:tcW w:w="1236" w:type="pct"/>
            <w:tcBorders>
              <w:top w:val="single" w:sz="4" w:space="0" w:color="auto"/>
              <w:left w:val="single" w:sz="4" w:space="0" w:color="auto"/>
              <w:bottom w:val="single" w:sz="4" w:space="0" w:color="auto"/>
              <w:right w:val="single" w:sz="4" w:space="0" w:color="auto"/>
            </w:tcBorders>
            <w:hideMark/>
          </w:tcPr>
          <w:p w14:paraId="635CCB16" w14:textId="77777777" w:rsidR="00E637D6" w:rsidRPr="0058616A" w:rsidRDefault="00E637D6" w:rsidP="004871EA">
            <w:pPr>
              <w:rPr>
                <w:rFonts w:eastAsia="Calibri" w:cstheme="minorHAnsi"/>
                <w:b/>
              </w:rPr>
            </w:pPr>
            <w:r w:rsidRPr="0058616A">
              <w:rPr>
                <w:rFonts w:eastAsia="Calibri" w:cstheme="minorHAnsi"/>
                <w:b/>
              </w:rPr>
              <w:t>1. License</w:t>
            </w:r>
          </w:p>
        </w:tc>
        <w:tc>
          <w:tcPr>
            <w:tcW w:w="3764" w:type="pct"/>
            <w:tcBorders>
              <w:top w:val="single" w:sz="4" w:space="0" w:color="auto"/>
              <w:left w:val="single" w:sz="4" w:space="0" w:color="auto"/>
              <w:bottom w:val="single" w:sz="4" w:space="0" w:color="auto"/>
              <w:right w:val="single" w:sz="4" w:space="0" w:color="auto"/>
            </w:tcBorders>
            <w:hideMark/>
          </w:tcPr>
          <w:p w14:paraId="79E7F46A" w14:textId="77777777" w:rsidR="00E637D6" w:rsidRPr="0058616A" w:rsidRDefault="00E637D6" w:rsidP="004871EA">
            <w:pPr>
              <w:rPr>
                <w:rFonts w:eastAsia="Calibri" w:cstheme="minorHAnsi"/>
              </w:rPr>
            </w:pPr>
            <w:r w:rsidRPr="0058616A">
              <w:rPr>
                <w:rFonts w:eastAsia="Calibri" w:cstheme="minorHAnsi"/>
              </w:rPr>
              <w:t>The PKSF is a government institution founded in May 1990. Legally, it is a not-for-profit company registered under the Companies Act. The PKSF is not regulated by a financial regulator but falls under the purview of the FID at the MoF.</w:t>
            </w:r>
          </w:p>
        </w:tc>
      </w:tr>
      <w:tr w:rsidR="00E637D6" w:rsidRPr="0058616A" w14:paraId="3013A420" w14:textId="77777777" w:rsidTr="004871EA">
        <w:tc>
          <w:tcPr>
            <w:tcW w:w="1236" w:type="pct"/>
            <w:tcBorders>
              <w:top w:val="single" w:sz="4" w:space="0" w:color="auto"/>
              <w:left w:val="single" w:sz="4" w:space="0" w:color="auto"/>
              <w:bottom w:val="single" w:sz="4" w:space="0" w:color="auto"/>
              <w:right w:val="single" w:sz="4" w:space="0" w:color="auto"/>
            </w:tcBorders>
            <w:hideMark/>
          </w:tcPr>
          <w:p w14:paraId="3DF98285" w14:textId="77777777" w:rsidR="00E637D6" w:rsidRPr="0058616A" w:rsidRDefault="00E637D6" w:rsidP="004871EA">
            <w:pPr>
              <w:rPr>
                <w:rFonts w:eastAsia="Calibri" w:cstheme="minorHAnsi"/>
                <w:b/>
              </w:rPr>
            </w:pPr>
            <w:r w:rsidRPr="0058616A">
              <w:rPr>
                <w:rFonts w:eastAsia="Calibri" w:cstheme="minorHAnsi"/>
                <w:b/>
              </w:rPr>
              <w:t xml:space="preserve">2. Governance </w:t>
            </w:r>
          </w:p>
        </w:tc>
        <w:tc>
          <w:tcPr>
            <w:tcW w:w="3764" w:type="pct"/>
            <w:tcBorders>
              <w:top w:val="single" w:sz="4" w:space="0" w:color="auto"/>
              <w:left w:val="single" w:sz="4" w:space="0" w:color="auto"/>
              <w:bottom w:val="single" w:sz="4" w:space="0" w:color="auto"/>
              <w:right w:val="single" w:sz="4" w:space="0" w:color="auto"/>
            </w:tcBorders>
            <w:hideMark/>
          </w:tcPr>
          <w:p w14:paraId="281105AE" w14:textId="77777777" w:rsidR="00E637D6" w:rsidRPr="0058616A" w:rsidRDefault="00E637D6" w:rsidP="004871EA">
            <w:pPr>
              <w:rPr>
                <w:rFonts w:eastAsia="Calibri" w:cstheme="minorHAnsi"/>
              </w:rPr>
            </w:pPr>
            <w:r w:rsidRPr="0058616A">
              <w:rPr>
                <w:rFonts w:eastAsia="Calibri" w:cstheme="minorHAnsi"/>
              </w:rPr>
              <w:t>The PKSF is governed as a PPP, through a 3-tier structure, consisting of (a) the management team, (b) the General Body, which approves the annual budget and audited accounts, with strong private sector representation; and (c) the Governing Body consisting of seven members that appoints the managing director. The General Body, composed of 21 members with strong private sector representation, meets twice a year. The chairman must not be a government official.</w:t>
            </w:r>
          </w:p>
        </w:tc>
      </w:tr>
      <w:tr w:rsidR="00E637D6" w:rsidRPr="0058616A" w14:paraId="7E9CB3C5" w14:textId="77777777" w:rsidTr="004871EA">
        <w:tc>
          <w:tcPr>
            <w:tcW w:w="1236" w:type="pct"/>
            <w:tcBorders>
              <w:top w:val="single" w:sz="4" w:space="0" w:color="auto"/>
              <w:left w:val="single" w:sz="4" w:space="0" w:color="auto"/>
              <w:bottom w:val="single" w:sz="4" w:space="0" w:color="auto"/>
              <w:right w:val="single" w:sz="4" w:space="0" w:color="auto"/>
            </w:tcBorders>
            <w:hideMark/>
          </w:tcPr>
          <w:p w14:paraId="7C8C3723" w14:textId="77777777" w:rsidR="00E637D6" w:rsidRPr="0058616A" w:rsidRDefault="00E637D6" w:rsidP="004871EA">
            <w:pPr>
              <w:rPr>
                <w:rFonts w:eastAsia="Calibri" w:cstheme="minorHAnsi"/>
                <w:b/>
              </w:rPr>
            </w:pPr>
            <w:r w:rsidRPr="0058616A">
              <w:rPr>
                <w:rFonts w:eastAsia="Calibri" w:cstheme="minorHAnsi"/>
                <w:b/>
              </w:rPr>
              <w:t>3. External audit standing</w:t>
            </w:r>
          </w:p>
        </w:tc>
        <w:tc>
          <w:tcPr>
            <w:tcW w:w="3764" w:type="pct"/>
            <w:tcBorders>
              <w:top w:val="single" w:sz="4" w:space="0" w:color="auto"/>
              <w:left w:val="single" w:sz="4" w:space="0" w:color="auto"/>
              <w:bottom w:val="single" w:sz="4" w:space="0" w:color="auto"/>
              <w:right w:val="single" w:sz="4" w:space="0" w:color="auto"/>
            </w:tcBorders>
            <w:hideMark/>
          </w:tcPr>
          <w:p w14:paraId="2A2C3FEA" w14:textId="77777777" w:rsidR="00E637D6" w:rsidRPr="0058616A" w:rsidRDefault="00E637D6" w:rsidP="004871EA">
            <w:pPr>
              <w:tabs>
                <w:tab w:val="left" w:pos="360"/>
              </w:tabs>
              <w:rPr>
                <w:rFonts w:eastAsia="Calibri" w:cstheme="minorHAnsi"/>
                <w:snapToGrid w:val="0"/>
              </w:rPr>
            </w:pPr>
            <w:r w:rsidRPr="0058616A">
              <w:rPr>
                <w:rFonts w:eastAsia="Calibri" w:cstheme="minorHAnsi"/>
              </w:rPr>
              <w:t>The PKSF’s external audit for FY2018/19 is unqualified.</w:t>
            </w:r>
          </w:p>
        </w:tc>
      </w:tr>
      <w:tr w:rsidR="00E637D6" w:rsidRPr="0058616A" w14:paraId="2A328205" w14:textId="77777777" w:rsidTr="004871EA">
        <w:tc>
          <w:tcPr>
            <w:tcW w:w="1236" w:type="pct"/>
            <w:tcBorders>
              <w:top w:val="single" w:sz="4" w:space="0" w:color="auto"/>
              <w:left w:val="single" w:sz="4" w:space="0" w:color="auto"/>
              <w:bottom w:val="single" w:sz="4" w:space="0" w:color="auto"/>
              <w:right w:val="single" w:sz="4" w:space="0" w:color="auto"/>
            </w:tcBorders>
            <w:hideMark/>
          </w:tcPr>
          <w:p w14:paraId="5CA97C82" w14:textId="77777777" w:rsidR="00E637D6" w:rsidRPr="0058616A" w:rsidRDefault="00E637D6" w:rsidP="004871EA">
            <w:pPr>
              <w:rPr>
                <w:rFonts w:eastAsia="Calibri" w:cstheme="minorHAnsi"/>
                <w:b/>
              </w:rPr>
            </w:pPr>
            <w:r w:rsidRPr="0058616A">
              <w:rPr>
                <w:rFonts w:eastAsia="Calibri" w:cstheme="minorHAnsi"/>
                <w:b/>
              </w:rPr>
              <w:t>4. Capital adequacy</w:t>
            </w:r>
          </w:p>
        </w:tc>
        <w:tc>
          <w:tcPr>
            <w:tcW w:w="3764" w:type="pct"/>
            <w:tcBorders>
              <w:top w:val="single" w:sz="4" w:space="0" w:color="auto"/>
              <w:left w:val="single" w:sz="4" w:space="0" w:color="auto"/>
              <w:bottom w:val="single" w:sz="4" w:space="0" w:color="auto"/>
              <w:right w:val="single" w:sz="4" w:space="0" w:color="auto"/>
            </w:tcBorders>
            <w:hideMark/>
          </w:tcPr>
          <w:p w14:paraId="6D1A6F73" w14:textId="77777777" w:rsidR="00E637D6" w:rsidRPr="0058616A" w:rsidRDefault="00E637D6" w:rsidP="004871EA">
            <w:pPr>
              <w:rPr>
                <w:rFonts w:eastAsia="Calibri" w:cstheme="minorHAnsi"/>
              </w:rPr>
            </w:pPr>
            <w:r w:rsidRPr="0058616A">
              <w:rPr>
                <w:rFonts w:eastAsia="Calibri" w:cstheme="minorHAnsi"/>
              </w:rPr>
              <w:t>The PKSF’s capital fund is BDT 47.7 billion (US$561.7 million), which represents a capital adequacy ratio of 85.3 percent.</w:t>
            </w:r>
          </w:p>
        </w:tc>
      </w:tr>
      <w:tr w:rsidR="00E637D6" w:rsidRPr="0058616A" w14:paraId="5BEEDBED" w14:textId="77777777" w:rsidTr="004871EA">
        <w:tc>
          <w:tcPr>
            <w:tcW w:w="1236" w:type="pct"/>
            <w:tcBorders>
              <w:top w:val="single" w:sz="4" w:space="0" w:color="auto"/>
              <w:left w:val="single" w:sz="4" w:space="0" w:color="auto"/>
              <w:bottom w:val="single" w:sz="4" w:space="0" w:color="auto"/>
              <w:right w:val="single" w:sz="4" w:space="0" w:color="auto"/>
            </w:tcBorders>
            <w:hideMark/>
          </w:tcPr>
          <w:p w14:paraId="6EB2BB60" w14:textId="77777777" w:rsidR="00E637D6" w:rsidRPr="0058616A" w:rsidRDefault="00E637D6" w:rsidP="004871EA">
            <w:pPr>
              <w:rPr>
                <w:rFonts w:eastAsia="Calibri" w:cstheme="minorHAnsi"/>
                <w:b/>
              </w:rPr>
            </w:pPr>
            <w:r w:rsidRPr="0058616A">
              <w:rPr>
                <w:rFonts w:eastAsia="Calibri" w:cstheme="minorHAnsi"/>
                <w:b/>
              </w:rPr>
              <w:t>5. Liquidity</w:t>
            </w:r>
          </w:p>
        </w:tc>
        <w:tc>
          <w:tcPr>
            <w:tcW w:w="3764" w:type="pct"/>
            <w:tcBorders>
              <w:top w:val="single" w:sz="4" w:space="0" w:color="auto"/>
              <w:left w:val="single" w:sz="4" w:space="0" w:color="auto"/>
              <w:bottom w:val="single" w:sz="4" w:space="0" w:color="auto"/>
              <w:right w:val="single" w:sz="4" w:space="0" w:color="auto"/>
            </w:tcBorders>
            <w:hideMark/>
          </w:tcPr>
          <w:p w14:paraId="59CB4F9A" w14:textId="77777777" w:rsidR="00E637D6" w:rsidRPr="0058616A" w:rsidRDefault="00E637D6" w:rsidP="004871EA">
            <w:pPr>
              <w:tabs>
                <w:tab w:val="left" w:pos="360"/>
              </w:tabs>
              <w:rPr>
                <w:rFonts w:eastAsia="Calibri" w:cstheme="minorHAnsi"/>
                <w:bCs/>
                <w:iCs/>
                <w:snapToGrid w:val="0"/>
              </w:rPr>
            </w:pPr>
            <w:r w:rsidRPr="0058616A">
              <w:rPr>
                <w:rFonts w:eastAsia="Calibri" w:cstheme="minorHAnsi"/>
                <w:bCs/>
                <w:iCs/>
                <w:snapToGrid w:val="0"/>
              </w:rPr>
              <w:t>The current liquidity ratio is 7.1, higher than the legal minimum of 2.5, and debt-to-equity ratio is 0.3, lower than the legal maximum of 4.5.</w:t>
            </w:r>
          </w:p>
          <w:p w14:paraId="67B9BF5A" w14:textId="77777777" w:rsidR="00E637D6" w:rsidRPr="0058616A" w:rsidRDefault="00E637D6" w:rsidP="004871EA">
            <w:pPr>
              <w:tabs>
                <w:tab w:val="left" w:pos="360"/>
              </w:tabs>
              <w:rPr>
                <w:rFonts w:eastAsia="Calibri" w:cstheme="minorHAnsi"/>
                <w:bCs/>
                <w:iCs/>
                <w:snapToGrid w:val="0"/>
              </w:rPr>
            </w:pPr>
            <w:r w:rsidRPr="0058616A">
              <w:rPr>
                <w:rFonts w:eastAsia="Calibri" w:cstheme="minorHAnsi"/>
              </w:rPr>
              <w:t>The PKSF’s mandate authorizes its management to mobilize funds in the form of grants, loans, and contributions from a wide variety of sources, including the GoB, private individuals and organizations, foreign governments, international donors and lending agencies, and capital markets. To date, the PKSF has received funds from the GoB, IDA/World Bank, US Agency for International Development, Asian Development Bank, and International Fund for Agricultural Development.</w:t>
            </w:r>
          </w:p>
        </w:tc>
      </w:tr>
      <w:tr w:rsidR="00E637D6" w:rsidRPr="0058616A" w14:paraId="6488B058" w14:textId="77777777" w:rsidTr="004871EA">
        <w:tc>
          <w:tcPr>
            <w:tcW w:w="1236" w:type="pct"/>
            <w:tcBorders>
              <w:top w:val="single" w:sz="4" w:space="0" w:color="auto"/>
              <w:left w:val="single" w:sz="4" w:space="0" w:color="auto"/>
              <w:bottom w:val="single" w:sz="4" w:space="0" w:color="auto"/>
              <w:right w:val="single" w:sz="4" w:space="0" w:color="auto"/>
            </w:tcBorders>
            <w:hideMark/>
          </w:tcPr>
          <w:p w14:paraId="7577F314" w14:textId="77777777" w:rsidR="00E637D6" w:rsidRPr="0058616A" w:rsidRDefault="00E637D6" w:rsidP="004871EA">
            <w:pPr>
              <w:rPr>
                <w:rFonts w:eastAsia="Calibri" w:cstheme="minorHAnsi"/>
                <w:b/>
              </w:rPr>
            </w:pPr>
            <w:r w:rsidRPr="0058616A">
              <w:rPr>
                <w:rFonts w:eastAsia="Calibri" w:cstheme="minorHAnsi"/>
                <w:b/>
              </w:rPr>
              <w:t>6. Profitability</w:t>
            </w:r>
          </w:p>
        </w:tc>
        <w:tc>
          <w:tcPr>
            <w:tcW w:w="3764" w:type="pct"/>
            <w:tcBorders>
              <w:top w:val="single" w:sz="4" w:space="0" w:color="auto"/>
              <w:left w:val="single" w:sz="4" w:space="0" w:color="auto"/>
              <w:bottom w:val="single" w:sz="4" w:space="0" w:color="auto"/>
              <w:right w:val="single" w:sz="4" w:space="0" w:color="auto"/>
            </w:tcBorders>
            <w:hideMark/>
          </w:tcPr>
          <w:p w14:paraId="15B53A42" w14:textId="77777777" w:rsidR="00E637D6" w:rsidRPr="0058616A" w:rsidRDefault="00E637D6" w:rsidP="004871EA">
            <w:pPr>
              <w:rPr>
                <w:rFonts w:eastAsia="Calibri" w:cstheme="minorHAnsi"/>
                <w:bCs/>
                <w:i/>
                <w:iCs/>
              </w:rPr>
            </w:pPr>
            <w:r w:rsidRPr="0058616A">
              <w:rPr>
                <w:rFonts w:eastAsia="Calibri" w:cstheme="minorHAnsi"/>
                <w:bCs/>
                <w:iCs/>
              </w:rPr>
              <w:t>At the PKSF level, net surplus to average equity ratio is 4.8 percent, and the return on average total assets is 3.4 percent.</w:t>
            </w:r>
          </w:p>
        </w:tc>
      </w:tr>
      <w:tr w:rsidR="00E637D6" w:rsidRPr="0058616A" w14:paraId="5B43FD98" w14:textId="77777777" w:rsidTr="004871EA">
        <w:tc>
          <w:tcPr>
            <w:tcW w:w="1236" w:type="pct"/>
            <w:tcBorders>
              <w:top w:val="single" w:sz="4" w:space="0" w:color="auto"/>
              <w:left w:val="single" w:sz="4" w:space="0" w:color="auto"/>
              <w:bottom w:val="single" w:sz="4" w:space="0" w:color="auto"/>
              <w:right w:val="single" w:sz="4" w:space="0" w:color="auto"/>
            </w:tcBorders>
            <w:hideMark/>
          </w:tcPr>
          <w:p w14:paraId="6AE20CEA" w14:textId="77777777" w:rsidR="00E637D6" w:rsidRPr="0058616A" w:rsidRDefault="00E637D6" w:rsidP="004871EA">
            <w:pPr>
              <w:rPr>
                <w:rFonts w:eastAsia="Calibri" w:cstheme="minorHAnsi"/>
                <w:b/>
              </w:rPr>
            </w:pPr>
            <w:r w:rsidRPr="0058616A">
              <w:rPr>
                <w:rFonts w:eastAsia="Calibri" w:cstheme="minorHAnsi"/>
                <w:b/>
              </w:rPr>
              <w:t>7. Policies and risk management functions</w:t>
            </w:r>
          </w:p>
        </w:tc>
        <w:tc>
          <w:tcPr>
            <w:tcW w:w="3764" w:type="pct"/>
            <w:tcBorders>
              <w:top w:val="single" w:sz="4" w:space="0" w:color="auto"/>
              <w:left w:val="single" w:sz="4" w:space="0" w:color="auto"/>
              <w:bottom w:val="single" w:sz="4" w:space="0" w:color="auto"/>
              <w:right w:val="single" w:sz="4" w:space="0" w:color="auto"/>
            </w:tcBorders>
            <w:hideMark/>
          </w:tcPr>
          <w:p w14:paraId="7D164AE4" w14:textId="77777777" w:rsidR="00E637D6" w:rsidRPr="0058616A" w:rsidRDefault="00E637D6" w:rsidP="004871EA">
            <w:pPr>
              <w:tabs>
                <w:tab w:val="left" w:pos="360"/>
              </w:tabs>
              <w:rPr>
                <w:rFonts w:eastAsia="Calibri" w:cstheme="minorHAnsi"/>
                <w:bCs/>
                <w:iCs/>
                <w:snapToGrid w:val="0"/>
              </w:rPr>
            </w:pPr>
            <w:r w:rsidRPr="0058616A">
              <w:rPr>
                <w:rFonts w:eastAsia="Calibri" w:cstheme="minorHAnsi"/>
                <w:bCs/>
                <w:iCs/>
                <w:snapToGrid w:val="0"/>
              </w:rPr>
              <w:t xml:space="preserve">The PKSF represents, on average, 18.0 percent of PO’s funding. All POs funded by the PKSF are in compliance with the MRA regulations. They undergo a stringent selection process before they can become one of the PKSF’s PO, based on criteria that are stricter than the MRA’s minimum </w:t>
            </w:r>
            <w:r w:rsidRPr="0058616A">
              <w:rPr>
                <w:rFonts w:eastAsia="Calibri" w:cstheme="minorHAnsi"/>
                <w:bCs/>
                <w:iCs/>
                <w:snapToGrid w:val="0"/>
              </w:rPr>
              <w:lastRenderedPageBreak/>
              <w:t>requirements. The PKSF’s risk management is found to be strong, and POs are adequately supervised both by the MRA and PKSF. The PKSF has developed a comprehensive rating system to annually assess the performance of POs along the following nine dimensions: (a) financial efficiency, (b) economic efficiency, (c) operational efficiency, (d) financial strength and risk management, (e) growth, (f) accounting and internal control system, (g) social performance, (h) human capacity, and (i) governance. A six-scale rating system has been developed, using letter designation corresponding to scores of up to 1,000. The full list of 144 indicators has been shared by the PKSF and is on file.</w:t>
            </w:r>
          </w:p>
        </w:tc>
      </w:tr>
      <w:tr w:rsidR="00E637D6" w:rsidRPr="0058616A" w14:paraId="2D259CE1" w14:textId="77777777" w:rsidTr="004871EA">
        <w:tc>
          <w:tcPr>
            <w:tcW w:w="1236" w:type="pct"/>
            <w:tcBorders>
              <w:top w:val="single" w:sz="4" w:space="0" w:color="auto"/>
              <w:left w:val="single" w:sz="4" w:space="0" w:color="auto"/>
              <w:bottom w:val="single" w:sz="4" w:space="0" w:color="auto"/>
              <w:right w:val="single" w:sz="4" w:space="0" w:color="auto"/>
            </w:tcBorders>
            <w:hideMark/>
          </w:tcPr>
          <w:p w14:paraId="5A64984B" w14:textId="77777777" w:rsidR="00E637D6" w:rsidRPr="0058616A" w:rsidRDefault="00E637D6" w:rsidP="004871EA">
            <w:pPr>
              <w:rPr>
                <w:rFonts w:eastAsia="Calibri" w:cstheme="minorHAnsi"/>
                <w:b/>
              </w:rPr>
            </w:pPr>
            <w:r w:rsidRPr="0058616A">
              <w:rPr>
                <w:rFonts w:eastAsia="Calibri" w:cstheme="minorHAnsi"/>
                <w:b/>
              </w:rPr>
              <w:lastRenderedPageBreak/>
              <w:t xml:space="preserve">8. Asset quality </w:t>
            </w:r>
          </w:p>
        </w:tc>
        <w:tc>
          <w:tcPr>
            <w:tcW w:w="3764" w:type="pct"/>
            <w:tcBorders>
              <w:top w:val="single" w:sz="4" w:space="0" w:color="auto"/>
              <w:left w:val="single" w:sz="4" w:space="0" w:color="auto"/>
              <w:bottom w:val="single" w:sz="4" w:space="0" w:color="auto"/>
              <w:right w:val="single" w:sz="4" w:space="0" w:color="auto"/>
            </w:tcBorders>
            <w:hideMark/>
          </w:tcPr>
          <w:p w14:paraId="60335A8C" w14:textId="77777777" w:rsidR="00E637D6" w:rsidRPr="0058616A" w:rsidRDefault="00E637D6" w:rsidP="004871EA">
            <w:pPr>
              <w:tabs>
                <w:tab w:val="left" w:pos="360"/>
              </w:tabs>
              <w:rPr>
                <w:rFonts w:eastAsia="Calibri" w:cstheme="minorHAnsi"/>
                <w:bCs/>
                <w:iCs/>
                <w:snapToGrid w:val="0"/>
              </w:rPr>
            </w:pPr>
            <w:r w:rsidRPr="0058616A">
              <w:rPr>
                <w:rFonts w:eastAsia="Calibri" w:cstheme="minorHAnsi"/>
                <w:bCs/>
                <w:iCs/>
                <w:snapToGrid w:val="0"/>
              </w:rPr>
              <w:t>The nonperforming loans ratio is at 3.5 percent. The overall loan collection rate is at 99.5 percent.</w:t>
            </w:r>
          </w:p>
        </w:tc>
      </w:tr>
      <w:tr w:rsidR="00E637D6" w:rsidRPr="0058616A" w14:paraId="3702510F" w14:textId="77777777" w:rsidTr="004871EA">
        <w:tc>
          <w:tcPr>
            <w:tcW w:w="1236" w:type="pct"/>
            <w:tcBorders>
              <w:top w:val="single" w:sz="4" w:space="0" w:color="auto"/>
              <w:left w:val="single" w:sz="4" w:space="0" w:color="auto"/>
              <w:bottom w:val="single" w:sz="4" w:space="0" w:color="auto"/>
              <w:right w:val="single" w:sz="4" w:space="0" w:color="auto"/>
            </w:tcBorders>
            <w:hideMark/>
          </w:tcPr>
          <w:p w14:paraId="17002C6C" w14:textId="77777777" w:rsidR="00E637D6" w:rsidRPr="0058616A" w:rsidRDefault="00E637D6" w:rsidP="004871EA">
            <w:pPr>
              <w:rPr>
                <w:rFonts w:eastAsia="Calibri" w:cstheme="minorHAnsi"/>
                <w:b/>
              </w:rPr>
            </w:pPr>
            <w:r w:rsidRPr="0058616A">
              <w:rPr>
                <w:rFonts w:eastAsia="Calibri" w:cstheme="minorHAnsi"/>
                <w:b/>
              </w:rPr>
              <w:t>9. Internal audit and controls</w:t>
            </w:r>
          </w:p>
        </w:tc>
        <w:tc>
          <w:tcPr>
            <w:tcW w:w="3764" w:type="pct"/>
            <w:tcBorders>
              <w:top w:val="single" w:sz="4" w:space="0" w:color="auto"/>
              <w:left w:val="single" w:sz="4" w:space="0" w:color="auto"/>
              <w:bottom w:val="single" w:sz="4" w:space="0" w:color="auto"/>
              <w:right w:val="single" w:sz="4" w:space="0" w:color="auto"/>
            </w:tcBorders>
            <w:hideMark/>
          </w:tcPr>
          <w:p w14:paraId="7CB4E60D" w14:textId="77777777" w:rsidR="00E637D6" w:rsidRPr="0058616A" w:rsidRDefault="00E637D6" w:rsidP="004871EA">
            <w:pPr>
              <w:tabs>
                <w:tab w:val="left" w:pos="360"/>
              </w:tabs>
              <w:rPr>
                <w:rFonts w:eastAsia="Calibri" w:cstheme="minorHAnsi"/>
                <w:bCs/>
                <w:iCs/>
                <w:snapToGrid w:val="0"/>
              </w:rPr>
            </w:pPr>
            <w:r w:rsidRPr="0058616A">
              <w:rPr>
                <w:rFonts w:eastAsia="Calibri" w:cstheme="minorHAnsi"/>
                <w:bCs/>
                <w:iCs/>
                <w:snapToGrid w:val="0"/>
              </w:rPr>
              <w:t xml:space="preserve">The Audit Division is responsible for internal and external audit for both the PKSF and its POs, including fraud detection, internal controls, and monitoring compliance. The internal audit/control systems are of adequate quality. </w:t>
            </w:r>
          </w:p>
          <w:p w14:paraId="42EA711E" w14:textId="77777777" w:rsidR="00E637D6" w:rsidRPr="0058616A" w:rsidRDefault="00E637D6" w:rsidP="004871EA">
            <w:pPr>
              <w:tabs>
                <w:tab w:val="left" w:pos="360"/>
              </w:tabs>
              <w:rPr>
                <w:rFonts w:eastAsia="Calibri" w:cstheme="minorHAnsi"/>
                <w:bCs/>
                <w:iCs/>
                <w:snapToGrid w:val="0"/>
              </w:rPr>
            </w:pPr>
            <w:r w:rsidRPr="0058616A">
              <w:rPr>
                <w:rFonts w:eastAsia="Calibri" w:cstheme="minorHAnsi"/>
              </w:rPr>
              <w:t xml:space="preserve">Audits are </w:t>
            </w:r>
            <w:r w:rsidRPr="0058616A">
              <w:rPr>
                <w:rFonts w:eastAsia="Calibri" w:cstheme="minorHAnsi"/>
                <w:bCs/>
                <w:iCs/>
                <w:snapToGrid w:val="0"/>
              </w:rPr>
              <w:t>carried</w:t>
            </w:r>
            <w:r w:rsidRPr="0058616A">
              <w:rPr>
                <w:rFonts w:eastAsia="Calibri" w:cstheme="minorHAnsi"/>
              </w:rPr>
              <w:t xml:space="preserve"> out in accordance with the Bangladesh Standards on Auditing, which are very close to the International Accounting Standards.</w:t>
            </w:r>
          </w:p>
        </w:tc>
      </w:tr>
      <w:tr w:rsidR="00E637D6" w:rsidRPr="0058616A" w14:paraId="71356866" w14:textId="77777777" w:rsidTr="004871EA">
        <w:tc>
          <w:tcPr>
            <w:tcW w:w="1236" w:type="pct"/>
            <w:tcBorders>
              <w:top w:val="single" w:sz="4" w:space="0" w:color="auto"/>
              <w:left w:val="single" w:sz="4" w:space="0" w:color="auto"/>
              <w:bottom w:val="single" w:sz="4" w:space="0" w:color="auto"/>
              <w:right w:val="single" w:sz="4" w:space="0" w:color="auto"/>
            </w:tcBorders>
            <w:hideMark/>
          </w:tcPr>
          <w:p w14:paraId="6EEC7906" w14:textId="77777777" w:rsidR="00E637D6" w:rsidRPr="0058616A" w:rsidRDefault="00E637D6" w:rsidP="004871EA">
            <w:pPr>
              <w:rPr>
                <w:rFonts w:eastAsia="Calibri" w:cstheme="minorHAnsi"/>
                <w:b/>
              </w:rPr>
            </w:pPr>
            <w:r w:rsidRPr="0058616A">
              <w:rPr>
                <w:rFonts w:eastAsia="Calibri" w:cstheme="minorHAnsi"/>
                <w:b/>
              </w:rPr>
              <w:t>10. Adequate MIS</w:t>
            </w:r>
          </w:p>
        </w:tc>
        <w:tc>
          <w:tcPr>
            <w:tcW w:w="3764" w:type="pct"/>
            <w:tcBorders>
              <w:top w:val="single" w:sz="4" w:space="0" w:color="auto"/>
              <w:left w:val="single" w:sz="4" w:space="0" w:color="auto"/>
              <w:bottom w:val="single" w:sz="4" w:space="0" w:color="auto"/>
              <w:right w:val="single" w:sz="4" w:space="0" w:color="auto"/>
            </w:tcBorders>
            <w:hideMark/>
          </w:tcPr>
          <w:p w14:paraId="00EBCD73" w14:textId="77777777" w:rsidR="00E637D6" w:rsidRPr="0058616A" w:rsidRDefault="00E637D6" w:rsidP="004871EA">
            <w:pPr>
              <w:tabs>
                <w:tab w:val="left" w:pos="360"/>
              </w:tabs>
              <w:rPr>
                <w:rFonts w:eastAsia="Calibri" w:cstheme="minorHAnsi"/>
                <w:bCs/>
                <w:iCs/>
                <w:snapToGrid w:val="0"/>
              </w:rPr>
            </w:pPr>
            <w:r w:rsidRPr="0058616A">
              <w:rPr>
                <w:rFonts w:eastAsia="Calibri" w:cstheme="minorHAnsi"/>
                <w:bCs/>
                <w:iCs/>
                <w:snapToGrid w:val="0"/>
              </w:rPr>
              <w:t>The IT and MIS system is of adequate quality and meets the PKSF’s current need.</w:t>
            </w:r>
          </w:p>
        </w:tc>
      </w:tr>
    </w:tbl>
    <w:p w14:paraId="28F31708" w14:textId="77777777" w:rsidR="00E637D6" w:rsidRPr="0058616A" w:rsidRDefault="00E637D6" w:rsidP="00E637D6">
      <w:pPr>
        <w:rPr>
          <w:rFonts w:eastAsia="Times New Roman" w:cstheme="minorHAnsi"/>
        </w:rPr>
      </w:pPr>
      <w:r w:rsidRPr="0058616A">
        <w:rPr>
          <w:rFonts w:eastAsia="Times New Roman" w:cstheme="minorHAnsi"/>
          <w:i/>
          <w:iCs/>
        </w:rPr>
        <w:t xml:space="preserve">Note: </w:t>
      </w:r>
      <w:r w:rsidRPr="0058616A">
        <w:rPr>
          <w:rFonts w:eastAsia="Times New Roman" w:cstheme="minorHAnsi"/>
        </w:rPr>
        <w:t>All financial statement figures in this table are based on FY2018/19.</w:t>
      </w:r>
    </w:p>
    <w:p w14:paraId="0ED6E9E6" w14:textId="77777777" w:rsidR="003E75B8" w:rsidRPr="0058616A" w:rsidRDefault="003E75B8" w:rsidP="003E75B8">
      <w:pPr>
        <w:autoSpaceDE w:val="0"/>
        <w:autoSpaceDN w:val="0"/>
        <w:adjustRightInd w:val="0"/>
        <w:spacing w:after="0" w:line="240" w:lineRule="auto"/>
        <w:jc w:val="both"/>
        <w:rPr>
          <w:rFonts w:cstheme="minorHAnsi"/>
          <w:b/>
        </w:rPr>
      </w:pPr>
    </w:p>
    <w:p w14:paraId="65D7DF04" w14:textId="7C625E26" w:rsidR="003E75B8" w:rsidRPr="0058616A" w:rsidRDefault="004E24CE" w:rsidP="003E75B8">
      <w:pPr>
        <w:autoSpaceDE w:val="0"/>
        <w:autoSpaceDN w:val="0"/>
        <w:adjustRightInd w:val="0"/>
        <w:spacing w:after="0" w:line="240" w:lineRule="auto"/>
        <w:jc w:val="both"/>
        <w:rPr>
          <w:rFonts w:cstheme="minorHAnsi"/>
          <w:b/>
        </w:rPr>
      </w:pPr>
      <w:r>
        <w:rPr>
          <w:rFonts w:cstheme="minorHAnsi"/>
          <w:b/>
        </w:rPr>
        <w:t>6</w:t>
      </w:r>
      <w:r w:rsidR="00A838DF">
        <w:rPr>
          <w:rFonts w:cstheme="minorHAnsi"/>
          <w:b/>
        </w:rPr>
        <w:t>.</w:t>
      </w:r>
      <w:r w:rsidR="003E75B8" w:rsidRPr="0058616A">
        <w:rPr>
          <w:rFonts w:cstheme="minorHAnsi"/>
          <w:b/>
        </w:rPr>
        <w:t xml:space="preserve"> Project Implementation</w:t>
      </w:r>
    </w:p>
    <w:p w14:paraId="25937AB7" w14:textId="65649391" w:rsidR="003E75B8" w:rsidRPr="005D4C2C" w:rsidRDefault="004E24CE" w:rsidP="005D4C2C">
      <w:pPr>
        <w:autoSpaceDE w:val="0"/>
        <w:autoSpaceDN w:val="0"/>
        <w:adjustRightInd w:val="0"/>
        <w:spacing w:after="240" w:line="240" w:lineRule="auto"/>
        <w:jc w:val="both"/>
        <w:rPr>
          <w:rFonts w:cstheme="minorHAnsi"/>
          <w:bCs/>
        </w:rPr>
      </w:pPr>
      <w:r w:rsidRPr="0043173B">
        <w:rPr>
          <w:rFonts w:cstheme="minorHAnsi"/>
          <w:bCs/>
        </w:rPr>
        <w:t xml:space="preserve">Under this project, the PKSF will use IDA and AIIB financing to onlend to </w:t>
      </w:r>
      <w:r w:rsidRPr="00325720">
        <w:t>retail</w:t>
      </w:r>
      <w:r w:rsidRPr="0043173B">
        <w:rPr>
          <w:rFonts w:cstheme="minorHAnsi"/>
          <w:bCs/>
        </w:rPr>
        <w:t xml:space="preserve"> MFIs, which in turn will provide loans to households to upgrade the WASH facilities at their residence in the project areas (Subcomponents 1.3 and 2.2.a). In addition, the PKSF will extend capacity-building support to retail MFIs</w:t>
      </w:r>
      <w:r w:rsidR="00710B64">
        <w:rPr>
          <w:rFonts w:cstheme="minorHAnsi"/>
          <w:bCs/>
        </w:rPr>
        <w:t>, credit group members</w:t>
      </w:r>
      <w:r w:rsidRPr="0043173B">
        <w:rPr>
          <w:rFonts w:cstheme="minorHAnsi"/>
          <w:bCs/>
        </w:rPr>
        <w:t xml:space="preserve"> and LEs for creating demand and installing SDG 6-compliant WASH facilities (Subcomponents 2.3 and 2.5). The PMU will comprise a full-time project coordinator, deputy project coordinator, and personnel with specialization in </w:t>
      </w:r>
      <w:r w:rsidRPr="0043173B">
        <w:rPr>
          <w:rFonts w:ascii="Calibri" w:hAnsi="Calibri" w:cs="Calibri"/>
        </w:rPr>
        <w:t>FM</w:t>
      </w:r>
      <w:r w:rsidRPr="0043173B">
        <w:rPr>
          <w:rFonts w:cstheme="minorHAnsi"/>
          <w:bCs/>
        </w:rPr>
        <w:t>, procurement, M&amp;E, E&amp;S, and others, posted from within the PKSF and recruited from the open market.</w:t>
      </w:r>
    </w:p>
    <w:p w14:paraId="25D7854A" w14:textId="71D27C9D" w:rsidR="003E75B8" w:rsidRPr="0058616A" w:rsidRDefault="003E75B8" w:rsidP="003E75B8">
      <w:pPr>
        <w:autoSpaceDE w:val="0"/>
        <w:autoSpaceDN w:val="0"/>
        <w:adjustRightInd w:val="0"/>
        <w:spacing w:after="0" w:line="240" w:lineRule="auto"/>
        <w:jc w:val="both"/>
        <w:rPr>
          <w:rFonts w:cstheme="minorHAnsi"/>
        </w:rPr>
      </w:pPr>
      <w:r w:rsidRPr="0058616A">
        <w:rPr>
          <w:rFonts w:cstheme="minorHAnsi"/>
        </w:rPr>
        <w:t>For the purposes of the Credit Line, the IDA</w:t>
      </w:r>
      <w:r w:rsidR="00A27505" w:rsidRPr="0058616A">
        <w:rPr>
          <w:rFonts w:cstheme="minorHAnsi"/>
        </w:rPr>
        <w:t xml:space="preserve"> and AIIB</w:t>
      </w:r>
      <w:r w:rsidRPr="0058616A">
        <w:rPr>
          <w:rFonts w:cstheme="minorHAnsi"/>
        </w:rPr>
        <w:t xml:space="preserve"> loan funds will be channeled through the Economic Relations Division of the Ministry of Finance (MOF) as the Borrower’s </w:t>
      </w:r>
      <w:r w:rsidR="00327F79" w:rsidRPr="0058616A">
        <w:rPr>
          <w:rFonts w:cstheme="minorHAnsi"/>
        </w:rPr>
        <w:t>representative and</w:t>
      </w:r>
      <w:r w:rsidRPr="0058616A">
        <w:rPr>
          <w:rFonts w:cstheme="minorHAnsi"/>
        </w:rPr>
        <w:t xml:space="preserve"> passed on to PKSF in local currency (BDT).  A Corresponding Designated account will be opened at the Bangladesh Bank.  PKSF will sign a Subsidiary Loan Agreement with the Government of Bangladesh – and it will, in turn, sign agreements with each qualified POs for the purposes of implementing the project’s credit line.  Separate Operational Procedures for the Credit Line will be outlined in detail in the Project Operations Manual (POM) – which will determine the eligible institutional criteria, eligible activities, detailed withdrawal procedures, and responsibilities of all parties implementing the Credit Line.  The POs, in turn, will on-lend the Credit Line funds to eligible households and local </w:t>
      </w:r>
      <w:r w:rsidR="00327F79" w:rsidRPr="0058616A">
        <w:rPr>
          <w:rFonts w:cstheme="minorHAnsi"/>
        </w:rPr>
        <w:t>entrepreneurs</w:t>
      </w:r>
      <w:r w:rsidRPr="0058616A">
        <w:rPr>
          <w:rFonts w:cstheme="minorHAnsi"/>
        </w:rPr>
        <w:t xml:space="preserve"> in accordance with the Operational Procedures and their financial considerations.</w:t>
      </w:r>
    </w:p>
    <w:p w14:paraId="330399AF" w14:textId="2C2B91C9" w:rsidR="00087E22" w:rsidRPr="0058616A" w:rsidRDefault="00087E22" w:rsidP="003E75B8">
      <w:pPr>
        <w:autoSpaceDE w:val="0"/>
        <w:autoSpaceDN w:val="0"/>
        <w:adjustRightInd w:val="0"/>
        <w:spacing w:after="0" w:line="240" w:lineRule="auto"/>
        <w:jc w:val="both"/>
        <w:rPr>
          <w:rFonts w:cstheme="minorHAnsi"/>
        </w:rPr>
      </w:pPr>
    </w:p>
    <w:p w14:paraId="1E84A33D" w14:textId="213D61CD" w:rsidR="00087E22" w:rsidRPr="0058616A" w:rsidRDefault="00087E22" w:rsidP="003E75B8">
      <w:pPr>
        <w:autoSpaceDE w:val="0"/>
        <w:autoSpaceDN w:val="0"/>
        <w:adjustRightInd w:val="0"/>
        <w:spacing w:after="0" w:line="240" w:lineRule="auto"/>
        <w:jc w:val="both"/>
        <w:rPr>
          <w:rFonts w:cstheme="minorHAnsi"/>
        </w:rPr>
      </w:pPr>
      <w:r w:rsidRPr="0058616A">
        <w:rPr>
          <w:rFonts w:cstheme="minorHAnsi"/>
          <w:bCs/>
        </w:rPr>
        <w:lastRenderedPageBreak/>
        <w:t>The PKSF will implement the project by leveraging about 60 MFI partner organizations (POs).</w:t>
      </w:r>
      <w:r w:rsidRPr="0058616A">
        <w:rPr>
          <w:rFonts w:cstheme="minorHAnsi"/>
        </w:rPr>
        <w:t xml:space="preserve"> WASH loans will be made available to the POs against their progress targets at an interest rate of 5 percent with a grace period of six months (that is, the first installment due after nine months) and a loan repayment period of three years (that is, 10 installments in total).</w:t>
      </w:r>
      <w:r w:rsidRPr="0058616A">
        <w:rPr>
          <w:rFonts w:cstheme="minorHAnsi"/>
          <w:vertAlign w:val="superscript"/>
        </w:rPr>
        <w:footnoteReference w:id="6"/>
      </w:r>
      <w:r w:rsidRPr="0058616A">
        <w:rPr>
          <w:rFonts w:cstheme="minorHAnsi"/>
        </w:rPr>
        <w:t xml:space="preserve"> Training will be organized for PO staff on national WASH policies strategies and the quality of service issues as they relate to SDGs 6.1 and 6.2.</w:t>
      </w:r>
    </w:p>
    <w:p w14:paraId="5821344F" w14:textId="77777777" w:rsidR="003E75B8" w:rsidRPr="0058616A" w:rsidRDefault="003E75B8" w:rsidP="003E75B8">
      <w:pPr>
        <w:autoSpaceDE w:val="0"/>
        <w:autoSpaceDN w:val="0"/>
        <w:adjustRightInd w:val="0"/>
        <w:spacing w:after="0" w:line="240" w:lineRule="auto"/>
        <w:jc w:val="both"/>
        <w:rPr>
          <w:rFonts w:cstheme="minorHAnsi"/>
        </w:rPr>
      </w:pPr>
    </w:p>
    <w:p w14:paraId="134AF7EC" w14:textId="77777777" w:rsidR="003E75B8" w:rsidRPr="0058616A" w:rsidRDefault="003E75B8" w:rsidP="003E75B8">
      <w:pPr>
        <w:autoSpaceDE w:val="0"/>
        <w:autoSpaceDN w:val="0"/>
        <w:adjustRightInd w:val="0"/>
        <w:spacing w:after="0" w:line="240" w:lineRule="auto"/>
        <w:jc w:val="both"/>
        <w:rPr>
          <w:rFonts w:cstheme="minorHAnsi"/>
        </w:rPr>
      </w:pPr>
    </w:p>
    <w:p w14:paraId="597CBF58" w14:textId="77777777" w:rsidR="003E75B8" w:rsidRPr="0058616A" w:rsidRDefault="003E75B8" w:rsidP="003E75B8">
      <w:pPr>
        <w:autoSpaceDE w:val="0"/>
        <w:autoSpaceDN w:val="0"/>
        <w:adjustRightInd w:val="0"/>
        <w:spacing w:after="0" w:line="240" w:lineRule="auto"/>
        <w:jc w:val="both"/>
        <w:rPr>
          <w:rFonts w:cstheme="minorHAnsi"/>
          <w:b/>
        </w:rPr>
      </w:pPr>
      <w:r w:rsidRPr="0058616A">
        <w:rPr>
          <w:rFonts w:cstheme="minorHAnsi"/>
          <w:b/>
        </w:rPr>
        <w:t>7. Eligibility Criteria</w:t>
      </w:r>
    </w:p>
    <w:p w14:paraId="21C583F6" w14:textId="77777777" w:rsidR="003E75B8" w:rsidRPr="0058616A" w:rsidRDefault="003E75B8" w:rsidP="003E75B8">
      <w:pPr>
        <w:autoSpaceDE w:val="0"/>
        <w:autoSpaceDN w:val="0"/>
        <w:adjustRightInd w:val="0"/>
        <w:spacing w:after="0" w:line="240" w:lineRule="auto"/>
        <w:jc w:val="both"/>
        <w:rPr>
          <w:rFonts w:cstheme="minorHAnsi"/>
          <w:i/>
        </w:rPr>
      </w:pPr>
    </w:p>
    <w:p w14:paraId="31644AE9" w14:textId="3119CE81" w:rsidR="003E75B8" w:rsidRPr="0058616A" w:rsidRDefault="003E75B8" w:rsidP="003E75B8">
      <w:pPr>
        <w:autoSpaceDE w:val="0"/>
        <w:autoSpaceDN w:val="0"/>
        <w:adjustRightInd w:val="0"/>
        <w:spacing w:after="0" w:line="240" w:lineRule="auto"/>
        <w:jc w:val="both"/>
        <w:rPr>
          <w:rFonts w:cstheme="minorHAnsi"/>
        </w:rPr>
      </w:pPr>
      <w:r w:rsidRPr="0058616A">
        <w:rPr>
          <w:rFonts w:cstheme="minorHAnsi"/>
          <w:b/>
          <w:i/>
        </w:rPr>
        <w:t>Potential POs</w:t>
      </w:r>
      <w:r w:rsidRPr="0058616A">
        <w:rPr>
          <w:rFonts w:cstheme="minorHAnsi"/>
          <w:i/>
        </w:rPr>
        <w:t>:</w:t>
      </w:r>
      <w:r w:rsidRPr="0058616A">
        <w:rPr>
          <w:rFonts w:cstheme="minorHAnsi"/>
        </w:rPr>
        <w:t xml:space="preserve"> PKSF has an existing rigorous appraisal of NG-MFIs to become PKSF-POs.  The project has appraised these criteria and deemed that they meet </w:t>
      </w:r>
      <w:r w:rsidR="00917E7E" w:rsidRPr="0058616A">
        <w:rPr>
          <w:rFonts w:cstheme="minorHAnsi"/>
        </w:rPr>
        <w:t xml:space="preserve">the </w:t>
      </w:r>
      <w:r w:rsidRPr="0058616A">
        <w:rPr>
          <w:rFonts w:cstheme="minorHAnsi"/>
        </w:rPr>
        <w:t>standards</w:t>
      </w:r>
      <w:r w:rsidR="00917E7E" w:rsidRPr="0058616A">
        <w:rPr>
          <w:rFonts w:cstheme="minorHAnsi"/>
        </w:rPr>
        <w:t xml:space="preserve"> of Financial </w:t>
      </w:r>
      <w:r w:rsidR="00584345" w:rsidRPr="0058616A">
        <w:rPr>
          <w:rFonts w:cstheme="minorHAnsi"/>
        </w:rPr>
        <w:t>Intermediaries</w:t>
      </w:r>
      <w:r w:rsidRPr="0058616A">
        <w:rPr>
          <w:rFonts w:cstheme="minorHAnsi"/>
        </w:rPr>
        <w:t xml:space="preserve">.  </w:t>
      </w:r>
      <w:r w:rsidR="00584345" w:rsidRPr="0058616A">
        <w:rPr>
          <w:rFonts w:cstheme="minorHAnsi"/>
        </w:rPr>
        <w:t xml:space="preserve">The </w:t>
      </w:r>
      <w:r w:rsidR="00903DD7" w:rsidRPr="0058616A">
        <w:rPr>
          <w:rFonts w:cstheme="minorHAnsi"/>
        </w:rPr>
        <w:t>Project will</w:t>
      </w:r>
      <w:bookmarkStart w:id="0" w:name="_GoBack"/>
      <w:bookmarkEnd w:id="0"/>
      <w:r w:rsidRPr="0058616A">
        <w:rPr>
          <w:rFonts w:cstheme="minorHAnsi"/>
        </w:rPr>
        <w:t xml:space="preserve"> therefore rely on PKSF’s existing system for PO appraisal.  Once qualified, a PO </w:t>
      </w:r>
      <w:r w:rsidR="00327F79" w:rsidRPr="0058616A">
        <w:rPr>
          <w:rFonts w:cstheme="minorHAnsi"/>
        </w:rPr>
        <w:t>is always expected to continue meeting the eligibility criteria</w:t>
      </w:r>
      <w:r w:rsidRPr="0058616A">
        <w:rPr>
          <w:rFonts w:cstheme="minorHAnsi"/>
        </w:rPr>
        <w:t>.  Compliance will be reviewed annually.</w:t>
      </w:r>
    </w:p>
    <w:p w14:paraId="6F9A9E9D" w14:textId="77777777" w:rsidR="003E75B8" w:rsidRPr="0058616A" w:rsidRDefault="003E75B8" w:rsidP="003E75B8">
      <w:pPr>
        <w:autoSpaceDE w:val="0"/>
        <w:autoSpaceDN w:val="0"/>
        <w:adjustRightInd w:val="0"/>
        <w:spacing w:after="0" w:line="240" w:lineRule="auto"/>
        <w:jc w:val="both"/>
        <w:rPr>
          <w:rFonts w:cstheme="minorHAnsi"/>
        </w:rPr>
      </w:pPr>
    </w:p>
    <w:p w14:paraId="19C3E24D" w14:textId="77777777" w:rsidR="003E75B8" w:rsidRPr="0058616A" w:rsidRDefault="003E75B8" w:rsidP="003E75B8">
      <w:pPr>
        <w:autoSpaceDE w:val="0"/>
        <w:autoSpaceDN w:val="0"/>
        <w:adjustRightInd w:val="0"/>
        <w:spacing w:after="0" w:line="240" w:lineRule="auto"/>
        <w:jc w:val="both"/>
        <w:rPr>
          <w:rFonts w:cstheme="minorHAnsi"/>
        </w:rPr>
      </w:pPr>
      <w:r w:rsidRPr="0058616A">
        <w:rPr>
          <w:rFonts w:cstheme="minorHAnsi"/>
        </w:rPr>
        <w:t>PKSF will rely on the following criteria to select PKSF-POs that will be participating financial intermediaries (PFIs) for this credit line:</w:t>
      </w:r>
    </w:p>
    <w:p w14:paraId="0ACD61CB" w14:textId="77777777" w:rsidR="003E75B8" w:rsidRPr="0058616A" w:rsidRDefault="003E75B8" w:rsidP="003E75B8">
      <w:pPr>
        <w:autoSpaceDE w:val="0"/>
        <w:autoSpaceDN w:val="0"/>
        <w:adjustRightInd w:val="0"/>
        <w:spacing w:after="0" w:line="240" w:lineRule="auto"/>
        <w:jc w:val="both"/>
        <w:rPr>
          <w:rFonts w:cstheme="minorHAnsi"/>
        </w:rPr>
      </w:pPr>
    </w:p>
    <w:p w14:paraId="042D569B" w14:textId="77777777" w:rsidR="003E75B8" w:rsidRPr="0058616A" w:rsidRDefault="003E75B8" w:rsidP="003E75B8">
      <w:pPr>
        <w:pStyle w:val="ListParagraph"/>
        <w:numPr>
          <w:ilvl w:val="0"/>
          <w:numId w:val="2"/>
        </w:numPr>
        <w:autoSpaceDE w:val="0"/>
        <w:autoSpaceDN w:val="0"/>
        <w:adjustRightInd w:val="0"/>
        <w:spacing w:after="0" w:line="240" w:lineRule="auto"/>
        <w:jc w:val="both"/>
        <w:rPr>
          <w:rFonts w:cstheme="minorHAnsi"/>
          <w:iCs/>
        </w:rPr>
      </w:pPr>
      <w:r w:rsidRPr="0058616A">
        <w:rPr>
          <w:rFonts w:cstheme="minorHAnsi"/>
          <w:iCs/>
        </w:rPr>
        <w:t>Broad eligibility criteria, as per PKSF general guidelines</w:t>
      </w:r>
    </w:p>
    <w:p w14:paraId="5A603214" w14:textId="77777777" w:rsidR="003E75B8" w:rsidRPr="0058616A" w:rsidRDefault="003E75B8" w:rsidP="003E75B8">
      <w:pPr>
        <w:pStyle w:val="ListParagraph"/>
        <w:autoSpaceDE w:val="0"/>
        <w:autoSpaceDN w:val="0"/>
        <w:adjustRightInd w:val="0"/>
        <w:spacing w:after="0" w:line="240" w:lineRule="auto"/>
        <w:jc w:val="both"/>
        <w:rPr>
          <w:rFonts w:cstheme="minorHAnsi"/>
          <w:iCs/>
        </w:rPr>
      </w:pPr>
    </w:p>
    <w:p w14:paraId="376E04D4" w14:textId="77777777" w:rsidR="003E75B8" w:rsidRPr="0058616A" w:rsidRDefault="003E75B8" w:rsidP="003E75B8">
      <w:pPr>
        <w:pStyle w:val="ListParagraph"/>
        <w:numPr>
          <w:ilvl w:val="0"/>
          <w:numId w:val="1"/>
        </w:numPr>
        <w:autoSpaceDE w:val="0"/>
        <w:autoSpaceDN w:val="0"/>
        <w:adjustRightInd w:val="0"/>
        <w:spacing w:after="0" w:line="240" w:lineRule="auto"/>
        <w:jc w:val="both"/>
        <w:rPr>
          <w:rFonts w:cstheme="minorHAnsi"/>
        </w:rPr>
      </w:pPr>
      <w:r w:rsidRPr="0058616A">
        <w:rPr>
          <w:rFonts w:cstheme="minorHAnsi"/>
          <w:iCs/>
        </w:rPr>
        <w:t>Adequate profitability, capital adequacy, asset quality</w:t>
      </w:r>
      <w:r w:rsidRPr="0058616A">
        <w:rPr>
          <w:rFonts w:cstheme="minorHAnsi"/>
        </w:rPr>
        <w:t>, and liquidity in accordance with accounting and auditing principles acceptable to the Bank;</w:t>
      </w:r>
    </w:p>
    <w:p w14:paraId="12BC1182" w14:textId="77777777" w:rsidR="003E75B8" w:rsidRPr="0058616A" w:rsidRDefault="003E75B8" w:rsidP="003E75B8">
      <w:pPr>
        <w:pStyle w:val="ListParagraph"/>
        <w:numPr>
          <w:ilvl w:val="0"/>
          <w:numId w:val="1"/>
        </w:numPr>
        <w:autoSpaceDE w:val="0"/>
        <w:autoSpaceDN w:val="0"/>
        <w:adjustRightInd w:val="0"/>
        <w:spacing w:after="0" w:line="240" w:lineRule="auto"/>
        <w:jc w:val="both"/>
        <w:rPr>
          <w:rFonts w:cstheme="minorHAnsi"/>
        </w:rPr>
      </w:pPr>
      <w:r w:rsidRPr="0058616A">
        <w:rPr>
          <w:rFonts w:cstheme="minorHAnsi"/>
        </w:rPr>
        <w:t>Audited annual accounts;</w:t>
      </w:r>
    </w:p>
    <w:p w14:paraId="53F86F8F" w14:textId="77777777" w:rsidR="003E75B8" w:rsidRPr="0058616A" w:rsidRDefault="003E75B8" w:rsidP="003E75B8">
      <w:pPr>
        <w:pStyle w:val="ListParagraph"/>
        <w:numPr>
          <w:ilvl w:val="0"/>
          <w:numId w:val="1"/>
        </w:numPr>
        <w:autoSpaceDE w:val="0"/>
        <w:autoSpaceDN w:val="0"/>
        <w:adjustRightInd w:val="0"/>
        <w:spacing w:after="0" w:line="240" w:lineRule="auto"/>
        <w:jc w:val="both"/>
        <w:rPr>
          <w:rFonts w:cstheme="minorHAnsi"/>
        </w:rPr>
      </w:pPr>
      <w:r w:rsidRPr="0058616A">
        <w:rPr>
          <w:rFonts w:cstheme="minorHAnsi"/>
        </w:rPr>
        <w:t>Acceptable levels of loan collections;</w:t>
      </w:r>
    </w:p>
    <w:p w14:paraId="7CDC97CA" w14:textId="77777777" w:rsidR="003E75B8" w:rsidRPr="0058616A" w:rsidRDefault="003E75B8" w:rsidP="003E75B8">
      <w:pPr>
        <w:pStyle w:val="ListParagraph"/>
        <w:numPr>
          <w:ilvl w:val="0"/>
          <w:numId w:val="1"/>
        </w:numPr>
        <w:autoSpaceDE w:val="0"/>
        <w:autoSpaceDN w:val="0"/>
        <w:adjustRightInd w:val="0"/>
        <w:spacing w:after="0" w:line="240" w:lineRule="auto"/>
        <w:jc w:val="both"/>
        <w:rPr>
          <w:rFonts w:cstheme="minorHAnsi"/>
        </w:rPr>
      </w:pPr>
      <w:r w:rsidRPr="0058616A">
        <w:rPr>
          <w:rFonts w:cstheme="minorHAnsi"/>
        </w:rPr>
        <w:t>Appropriate capacity, including for carrying out sub</w:t>
      </w:r>
      <w:r w:rsidR="00327F79" w:rsidRPr="0058616A">
        <w:rPr>
          <w:rFonts w:cstheme="minorHAnsi"/>
        </w:rPr>
        <w:t>-</w:t>
      </w:r>
      <w:r w:rsidRPr="0058616A">
        <w:rPr>
          <w:rFonts w:cstheme="minorHAnsi"/>
        </w:rPr>
        <w:t>loan/subproject appraisal, and for supervision of the use of funds and implementation;</w:t>
      </w:r>
    </w:p>
    <w:p w14:paraId="35B80E3B" w14:textId="77777777" w:rsidR="003E75B8" w:rsidRPr="0058616A" w:rsidRDefault="003E75B8" w:rsidP="003E75B8">
      <w:pPr>
        <w:pStyle w:val="ListParagraph"/>
        <w:numPr>
          <w:ilvl w:val="0"/>
          <w:numId w:val="1"/>
        </w:numPr>
        <w:autoSpaceDE w:val="0"/>
        <w:autoSpaceDN w:val="0"/>
        <w:adjustRightInd w:val="0"/>
        <w:spacing w:after="0" w:line="240" w:lineRule="auto"/>
        <w:jc w:val="both"/>
        <w:rPr>
          <w:rFonts w:cstheme="minorHAnsi"/>
        </w:rPr>
      </w:pPr>
      <w:r w:rsidRPr="0058616A">
        <w:rPr>
          <w:rFonts w:cstheme="minorHAnsi"/>
        </w:rPr>
        <w:t>Adequate managerial autonomy and commercially oriented governance.  Must create required LLP as per PKSF guidelines;</w:t>
      </w:r>
    </w:p>
    <w:p w14:paraId="7106ABFF" w14:textId="77777777" w:rsidR="003E75B8" w:rsidRPr="0058616A" w:rsidRDefault="003E75B8" w:rsidP="003E75B8">
      <w:pPr>
        <w:pStyle w:val="ListParagraph"/>
        <w:numPr>
          <w:ilvl w:val="0"/>
          <w:numId w:val="1"/>
        </w:numPr>
        <w:autoSpaceDE w:val="0"/>
        <w:autoSpaceDN w:val="0"/>
        <w:adjustRightInd w:val="0"/>
        <w:spacing w:after="0" w:line="240" w:lineRule="auto"/>
        <w:jc w:val="both"/>
        <w:rPr>
          <w:rFonts w:cstheme="minorHAnsi"/>
        </w:rPr>
      </w:pPr>
      <w:r w:rsidRPr="0058616A">
        <w:rPr>
          <w:rFonts w:cstheme="minorHAnsi"/>
        </w:rPr>
        <w:t>Capacity to mobilize domestic resources;</w:t>
      </w:r>
    </w:p>
    <w:p w14:paraId="2801492E" w14:textId="77777777" w:rsidR="003E75B8" w:rsidRPr="0058616A" w:rsidRDefault="003E75B8" w:rsidP="003E75B8">
      <w:pPr>
        <w:pStyle w:val="ListParagraph"/>
        <w:numPr>
          <w:ilvl w:val="0"/>
          <w:numId w:val="1"/>
        </w:numPr>
        <w:autoSpaceDE w:val="0"/>
        <w:autoSpaceDN w:val="0"/>
        <w:adjustRightInd w:val="0"/>
        <w:spacing w:after="0" w:line="240" w:lineRule="auto"/>
        <w:jc w:val="both"/>
        <w:rPr>
          <w:rFonts w:cstheme="minorHAnsi"/>
        </w:rPr>
      </w:pPr>
      <w:r w:rsidRPr="0058616A">
        <w:rPr>
          <w:rFonts w:cstheme="minorHAnsi"/>
        </w:rPr>
        <w:t>Appropriate prudential policies, administrative structure, and business procedures.  In addition, have a maximum debt-to-equity of 9:1;</w:t>
      </w:r>
    </w:p>
    <w:p w14:paraId="546120C8" w14:textId="77777777" w:rsidR="003E75B8" w:rsidRPr="0058616A" w:rsidRDefault="003E75B8" w:rsidP="003E75B8">
      <w:pPr>
        <w:pStyle w:val="ListParagraph"/>
        <w:numPr>
          <w:ilvl w:val="0"/>
          <w:numId w:val="1"/>
        </w:numPr>
        <w:autoSpaceDE w:val="0"/>
        <w:autoSpaceDN w:val="0"/>
        <w:adjustRightInd w:val="0"/>
        <w:spacing w:after="0" w:line="240" w:lineRule="auto"/>
        <w:jc w:val="both"/>
        <w:rPr>
          <w:rFonts w:cstheme="minorHAnsi"/>
        </w:rPr>
      </w:pPr>
      <w:r w:rsidRPr="0058616A">
        <w:rPr>
          <w:rFonts w:cstheme="minorHAnsi"/>
        </w:rPr>
        <w:t>Adequate accounting and book-keeping and MIS system, with adequate internal controls;</w:t>
      </w:r>
    </w:p>
    <w:p w14:paraId="2D3385E7" w14:textId="77777777" w:rsidR="003E75B8" w:rsidRPr="0058616A" w:rsidRDefault="003E75B8" w:rsidP="003E75B8">
      <w:pPr>
        <w:pStyle w:val="ListParagraph"/>
        <w:jc w:val="both"/>
        <w:rPr>
          <w:rFonts w:cstheme="minorHAnsi"/>
          <w:i/>
        </w:rPr>
      </w:pPr>
    </w:p>
    <w:p w14:paraId="2CA4C251" w14:textId="77777777" w:rsidR="003E75B8" w:rsidRPr="0058616A" w:rsidRDefault="003E75B8" w:rsidP="003E75B8">
      <w:pPr>
        <w:pStyle w:val="ListParagraph"/>
        <w:numPr>
          <w:ilvl w:val="0"/>
          <w:numId w:val="2"/>
        </w:numPr>
        <w:jc w:val="both"/>
        <w:rPr>
          <w:rFonts w:cstheme="minorHAnsi"/>
          <w:b/>
          <w:bCs/>
          <w:iCs/>
        </w:rPr>
      </w:pPr>
      <w:r w:rsidRPr="0058616A">
        <w:rPr>
          <w:rFonts w:cstheme="minorHAnsi"/>
          <w:b/>
          <w:bCs/>
          <w:iCs/>
        </w:rPr>
        <w:t>Additional project-specific criteria</w:t>
      </w:r>
    </w:p>
    <w:p w14:paraId="1F5853AC" w14:textId="77777777" w:rsidR="00802CF0" w:rsidRPr="0058616A" w:rsidRDefault="00802CF0" w:rsidP="00802CF0">
      <w:pPr>
        <w:numPr>
          <w:ilvl w:val="0"/>
          <w:numId w:val="2"/>
        </w:numPr>
        <w:autoSpaceDE w:val="0"/>
        <w:autoSpaceDN w:val="0"/>
        <w:adjustRightInd w:val="0"/>
        <w:spacing w:after="240" w:line="240" w:lineRule="auto"/>
        <w:rPr>
          <w:rFonts w:cstheme="minorHAnsi"/>
        </w:rPr>
      </w:pPr>
      <w:r w:rsidRPr="0058616A">
        <w:rPr>
          <w:rFonts w:cstheme="minorHAnsi"/>
        </w:rPr>
        <w:t>Have existing operations in the selected project areas</w:t>
      </w:r>
    </w:p>
    <w:p w14:paraId="1A8EAAA1" w14:textId="77777777" w:rsidR="00802CF0" w:rsidRPr="0058616A" w:rsidRDefault="00802CF0" w:rsidP="00802CF0">
      <w:pPr>
        <w:numPr>
          <w:ilvl w:val="0"/>
          <w:numId w:val="2"/>
        </w:numPr>
        <w:autoSpaceDE w:val="0"/>
        <w:autoSpaceDN w:val="0"/>
        <w:adjustRightInd w:val="0"/>
        <w:spacing w:after="240" w:line="240" w:lineRule="auto"/>
        <w:rPr>
          <w:rFonts w:cstheme="minorHAnsi"/>
        </w:rPr>
      </w:pPr>
      <w:r w:rsidRPr="0058616A">
        <w:rPr>
          <w:rFonts w:cstheme="minorHAnsi"/>
        </w:rPr>
        <w:t>Have previous track record, efficient manpower, and financial and infrastructural capabilities</w:t>
      </w:r>
    </w:p>
    <w:p w14:paraId="6E349E5A" w14:textId="77777777" w:rsidR="00802CF0" w:rsidRPr="0058616A" w:rsidRDefault="00802CF0" w:rsidP="00802CF0">
      <w:pPr>
        <w:numPr>
          <w:ilvl w:val="0"/>
          <w:numId w:val="2"/>
        </w:numPr>
        <w:autoSpaceDE w:val="0"/>
        <w:autoSpaceDN w:val="0"/>
        <w:adjustRightInd w:val="0"/>
        <w:spacing w:after="240" w:line="240" w:lineRule="auto"/>
        <w:rPr>
          <w:rFonts w:cstheme="minorHAnsi"/>
        </w:rPr>
      </w:pPr>
      <w:r w:rsidRPr="0058616A">
        <w:rPr>
          <w:rFonts w:cstheme="minorHAnsi"/>
        </w:rPr>
        <w:t>Have implemented a number of development projects with the PKSF</w:t>
      </w:r>
    </w:p>
    <w:p w14:paraId="73ABE7EA" w14:textId="77777777" w:rsidR="00802CF0" w:rsidRPr="0058616A" w:rsidRDefault="00802CF0" w:rsidP="00802CF0">
      <w:pPr>
        <w:numPr>
          <w:ilvl w:val="0"/>
          <w:numId w:val="2"/>
        </w:numPr>
        <w:autoSpaceDE w:val="0"/>
        <w:autoSpaceDN w:val="0"/>
        <w:adjustRightInd w:val="0"/>
        <w:spacing w:after="240" w:line="240" w:lineRule="auto"/>
        <w:rPr>
          <w:rFonts w:cstheme="minorHAnsi"/>
        </w:rPr>
      </w:pPr>
      <w:r w:rsidRPr="0058616A">
        <w:rPr>
          <w:rFonts w:cstheme="minorHAnsi"/>
        </w:rPr>
        <w:t xml:space="preserve">Have experience in implementing programs related with WASH, specially implementing experience of the GPOBA sanitation microfinance project </w:t>
      </w:r>
    </w:p>
    <w:p w14:paraId="24ECFAB7" w14:textId="77777777" w:rsidR="00802CF0" w:rsidRPr="0058616A" w:rsidRDefault="00802CF0" w:rsidP="00802CF0">
      <w:pPr>
        <w:numPr>
          <w:ilvl w:val="0"/>
          <w:numId w:val="2"/>
        </w:numPr>
        <w:autoSpaceDE w:val="0"/>
        <w:autoSpaceDN w:val="0"/>
        <w:adjustRightInd w:val="0"/>
        <w:spacing w:after="240" w:line="240" w:lineRule="auto"/>
        <w:rPr>
          <w:rFonts w:cstheme="minorHAnsi"/>
        </w:rPr>
      </w:pPr>
      <w:r w:rsidRPr="0058616A">
        <w:rPr>
          <w:rFonts w:cstheme="minorHAnsi"/>
        </w:rPr>
        <w:t>Have been involved in health-related programs.</w:t>
      </w:r>
    </w:p>
    <w:p w14:paraId="47BF5745" w14:textId="77777777" w:rsidR="003E75B8" w:rsidRPr="0058616A" w:rsidRDefault="003E75B8" w:rsidP="003E75B8">
      <w:pPr>
        <w:autoSpaceDE w:val="0"/>
        <w:autoSpaceDN w:val="0"/>
        <w:adjustRightInd w:val="0"/>
        <w:spacing w:after="0" w:line="240" w:lineRule="auto"/>
        <w:jc w:val="both"/>
        <w:rPr>
          <w:rFonts w:cstheme="minorHAnsi"/>
        </w:rPr>
      </w:pPr>
    </w:p>
    <w:p w14:paraId="19246BF0" w14:textId="77777777" w:rsidR="003E75B8" w:rsidRPr="0058616A" w:rsidRDefault="003E75B8" w:rsidP="003E75B8">
      <w:pPr>
        <w:autoSpaceDE w:val="0"/>
        <w:autoSpaceDN w:val="0"/>
        <w:adjustRightInd w:val="0"/>
        <w:spacing w:after="0" w:line="240" w:lineRule="auto"/>
        <w:jc w:val="both"/>
        <w:rPr>
          <w:rFonts w:cstheme="minorHAnsi"/>
        </w:rPr>
      </w:pPr>
    </w:p>
    <w:p w14:paraId="254D83F8" w14:textId="77777777" w:rsidR="003E75B8" w:rsidRPr="0058616A" w:rsidRDefault="003E75B8" w:rsidP="003E75B8">
      <w:pPr>
        <w:autoSpaceDE w:val="0"/>
        <w:autoSpaceDN w:val="0"/>
        <w:adjustRightInd w:val="0"/>
        <w:spacing w:after="0" w:line="240" w:lineRule="auto"/>
        <w:jc w:val="both"/>
        <w:rPr>
          <w:rFonts w:cstheme="minorHAnsi"/>
        </w:rPr>
      </w:pPr>
      <w:r w:rsidRPr="0058616A">
        <w:rPr>
          <w:rFonts w:cstheme="minorHAnsi"/>
        </w:rPr>
        <w:t xml:space="preserve">During implementation, POs’ compliance with the eligibility criteria will be closely monitored by PKSF and tracked on an on-going basis.  As indicated, POs will also be required to report to PKSF on their sub-loan portfolio and on key financial and performance indicators on a quarterly and annual basis, as relevant, and in line with the results </w:t>
      </w:r>
      <w:r w:rsidR="00327F79" w:rsidRPr="0058616A">
        <w:rPr>
          <w:rFonts w:cstheme="minorHAnsi"/>
        </w:rPr>
        <w:t>framework.</w:t>
      </w:r>
      <w:r w:rsidRPr="0058616A">
        <w:rPr>
          <w:rFonts w:cstheme="minorHAnsi"/>
        </w:rPr>
        <w:t xml:space="preserve"> The financial performance of the POs will also be monitored through independent auditors’ reports.</w:t>
      </w:r>
    </w:p>
    <w:p w14:paraId="29CC9A43" w14:textId="77777777" w:rsidR="003E75B8" w:rsidRPr="0058616A" w:rsidRDefault="003E75B8" w:rsidP="003E75B8">
      <w:pPr>
        <w:autoSpaceDE w:val="0"/>
        <w:autoSpaceDN w:val="0"/>
        <w:adjustRightInd w:val="0"/>
        <w:spacing w:after="0" w:line="240" w:lineRule="auto"/>
        <w:jc w:val="both"/>
        <w:rPr>
          <w:rFonts w:cstheme="minorHAnsi"/>
        </w:rPr>
      </w:pPr>
    </w:p>
    <w:p w14:paraId="2946B5A9" w14:textId="77777777" w:rsidR="003E75B8" w:rsidRPr="0058616A" w:rsidRDefault="003E75B8" w:rsidP="003E75B8">
      <w:pPr>
        <w:jc w:val="both"/>
        <w:rPr>
          <w:rFonts w:cstheme="minorHAnsi"/>
          <w:b/>
          <w:bCs/>
          <w:iCs/>
        </w:rPr>
      </w:pPr>
      <w:r w:rsidRPr="0058616A">
        <w:rPr>
          <w:rFonts w:cstheme="minorHAnsi"/>
          <w:b/>
          <w:bCs/>
          <w:iCs/>
        </w:rPr>
        <w:t xml:space="preserve">8. Lending terms </w:t>
      </w:r>
    </w:p>
    <w:p w14:paraId="34ED60F5" w14:textId="77777777" w:rsidR="00BC04C7" w:rsidRPr="0058616A" w:rsidRDefault="00BC04C7" w:rsidP="00BC04C7">
      <w:pPr>
        <w:pStyle w:val="ListParagraph"/>
        <w:autoSpaceDE w:val="0"/>
        <w:autoSpaceDN w:val="0"/>
        <w:adjustRightInd w:val="0"/>
        <w:spacing w:after="240" w:line="240" w:lineRule="auto"/>
        <w:ind w:left="0"/>
        <w:contextualSpacing w:val="0"/>
        <w:jc w:val="both"/>
        <w:rPr>
          <w:rFonts w:cstheme="minorHAnsi"/>
          <w:bCs/>
        </w:rPr>
      </w:pPr>
      <w:r w:rsidRPr="0058616A">
        <w:rPr>
          <w:rFonts w:cstheme="minorHAnsi"/>
        </w:rPr>
        <w:t>The POs will offer WASH loans to poor and non-poor households through their credit groups, 90 percent of whose members are women (Subcomponents 1.3 and 2.2.a).</w:t>
      </w:r>
      <w:r w:rsidRPr="0058616A">
        <w:rPr>
          <w:rFonts w:cstheme="minorHAnsi"/>
          <w:b/>
          <w:bCs/>
        </w:rPr>
        <w:t xml:space="preserve"> </w:t>
      </w:r>
      <w:r w:rsidRPr="0058616A">
        <w:rPr>
          <w:rFonts w:cstheme="minorHAnsi"/>
        </w:rPr>
        <w:t xml:space="preserve">Technical support will be extended to PO staff to enhance their skills in carrying out the BCC campaign (see paragraph 9), mobilizing LEs, ensuring quality of WASH facility construction, and mobile-app based reporting. </w:t>
      </w:r>
      <w:r w:rsidRPr="0058616A">
        <w:rPr>
          <w:rFonts w:cstheme="minorHAnsi"/>
          <w:bCs/>
        </w:rPr>
        <w:t xml:space="preserve">The loans will comply with the following </w:t>
      </w:r>
      <w:r w:rsidRPr="0058616A">
        <w:rPr>
          <w:rFonts w:cstheme="minorHAnsi"/>
        </w:rPr>
        <w:t>conditions</w:t>
      </w:r>
      <w:r w:rsidRPr="0058616A">
        <w:rPr>
          <w:rFonts w:cstheme="minorHAnsi"/>
          <w:bCs/>
        </w:rPr>
        <w:t>:</w:t>
      </w:r>
    </w:p>
    <w:p w14:paraId="11AD581F" w14:textId="77777777" w:rsidR="00BC04C7" w:rsidRPr="0058616A" w:rsidRDefault="00BC04C7" w:rsidP="00BC04C7">
      <w:pPr>
        <w:numPr>
          <w:ilvl w:val="0"/>
          <w:numId w:val="6"/>
        </w:numPr>
        <w:autoSpaceDE w:val="0"/>
        <w:autoSpaceDN w:val="0"/>
        <w:adjustRightInd w:val="0"/>
        <w:spacing w:after="240" w:line="240" w:lineRule="auto"/>
        <w:ind w:left="1195" w:hanging="475"/>
        <w:jc w:val="both"/>
        <w:rPr>
          <w:rFonts w:cstheme="minorHAnsi"/>
        </w:rPr>
      </w:pPr>
      <w:r w:rsidRPr="0058616A">
        <w:rPr>
          <w:rFonts w:cstheme="minorHAnsi"/>
          <w:b/>
          <w:bCs/>
        </w:rPr>
        <w:t>Loan interest rate:</w:t>
      </w:r>
      <w:r w:rsidRPr="0058616A">
        <w:rPr>
          <w:rFonts w:cstheme="minorHAnsi"/>
        </w:rPr>
        <w:t xml:space="preserve"> About 18 percent per year (including fees and other charges)</w:t>
      </w:r>
    </w:p>
    <w:p w14:paraId="421A4AD1" w14:textId="77777777" w:rsidR="00BC04C7" w:rsidRPr="0058616A" w:rsidRDefault="00BC04C7" w:rsidP="00BC04C7">
      <w:pPr>
        <w:numPr>
          <w:ilvl w:val="0"/>
          <w:numId w:val="6"/>
        </w:numPr>
        <w:autoSpaceDE w:val="0"/>
        <w:autoSpaceDN w:val="0"/>
        <w:adjustRightInd w:val="0"/>
        <w:spacing w:after="240" w:line="240" w:lineRule="auto"/>
        <w:ind w:left="1195" w:hanging="475"/>
        <w:jc w:val="both"/>
        <w:rPr>
          <w:rFonts w:cstheme="minorHAnsi"/>
        </w:rPr>
      </w:pPr>
      <w:r w:rsidRPr="0058616A">
        <w:rPr>
          <w:rFonts w:cstheme="minorHAnsi"/>
          <w:b/>
          <w:bCs/>
        </w:rPr>
        <w:t>Grace period:</w:t>
      </w:r>
      <w:r w:rsidRPr="0058616A">
        <w:rPr>
          <w:rFonts w:cstheme="minorHAnsi"/>
        </w:rPr>
        <w:t xml:space="preserve"> 2 weeks (as per Microcredit Regulatory Authority [MRA] policy)</w:t>
      </w:r>
    </w:p>
    <w:p w14:paraId="05B51E8D" w14:textId="77777777" w:rsidR="00BC04C7" w:rsidRPr="0058616A" w:rsidRDefault="00BC04C7" w:rsidP="00BC04C7">
      <w:pPr>
        <w:numPr>
          <w:ilvl w:val="0"/>
          <w:numId w:val="6"/>
        </w:numPr>
        <w:autoSpaceDE w:val="0"/>
        <w:autoSpaceDN w:val="0"/>
        <w:adjustRightInd w:val="0"/>
        <w:spacing w:after="240" w:line="240" w:lineRule="auto"/>
        <w:ind w:left="1195" w:hanging="475"/>
        <w:jc w:val="both"/>
        <w:rPr>
          <w:rFonts w:cstheme="minorHAnsi"/>
        </w:rPr>
      </w:pPr>
      <w:r w:rsidRPr="0058616A">
        <w:rPr>
          <w:rFonts w:cstheme="minorHAnsi"/>
          <w:b/>
          <w:bCs/>
        </w:rPr>
        <w:t>Repayment tenure:</w:t>
      </w:r>
      <w:r w:rsidRPr="0058616A">
        <w:rPr>
          <w:rFonts w:cstheme="minorHAnsi"/>
        </w:rPr>
        <w:t xml:space="preserve"> 1–1.5 years (60 weekly installment or 15 monthly installments)</w:t>
      </w:r>
    </w:p>
    <w:p w14:paraId="1061CCE9" w14:textId="77777777" w:rsidR="00BC04C7" w:rsidRPr="0058616A" w:rsidRDefault="00BC04C7" w:rsidP="00BC04C7">
      <w:pPr>
        <w:numPr>
          <w:ilvl w:val="0"/>
          <w:numId w:val="6"/>
        </w:numPr>
        <w:autoSpaceDE w:val="0"/>
        <w:autoSpaceDN w:val="0"/>
        <w:adjustRightInd w:val="0"/>
        <w:spacing w:after="240" w:line="240" w:lineRule="auto"/>
        <w:ind w:left="1195" w:hanging="475"/>
        <w:jc w:val="both"/>
        <w:rPr>
          <w:rFonts w:cstheme="minorHAnsi"/>
        </w:rPr>
      </w:pPr>
      <w:r w:rsidRPr="0058616A">
        <w:rPr>
          <w:rFonts w:cstheme="minorHAnsi"/>
          <w:b/>
          <w:bCs/>
        </w:rPr>
        <w:t xml:space="preserve">Loan size. </w:t>
      </w:r>
      <w:r w:rsidRPr="0058616A">
        <w:rPr>
          <w:rFonts w:cstheme="minorHAnsi"/>
        </w:rPr>
        <w:t>Credit group members will be entitled to receive loans up to a maximum of BDT 50,000 for both water and sanitation at a time. The loan size for respective loans is as follows:</w:t>
      </w:r>
    </w:p>
    <w:p w14:paraId="12FEB747" w14:textId="77777777" w:rsidR="00BC04C7" w:rsidRPr="0058616A" w:rsidRDefault="00BC04C7" w:rsidP="00BC04C7">
      <w:pPr>
        <w:numPr>
          <w:ilvl w:val="1"/>
          <w:numId w:val="6"/>
        </w:numPr>
        <w:autoSpaceDE w:val="0"/>
        <w:autoSpaceDN w:val="0"/>
        <w:adjustRightInd w:val="0"/>
        <w:spacing w:after="240" w:line="240" w:lineRule="auto"/>
        <w:ind w:left="1670" w:hanging="475"/>
        <w:jc w:val="both"/>
        <w:rPr>
          <w:rFonts w:cstheme="minorHAnsi"/>
        </w:rPr>
      </w:pPr>
      <w:r w:rsidRPr="0058616A">
        <w:rPr>
          <w:rFonts w:cstheme="minorHAnsi"/>
          <w:b/>
          <w:bCs/>
        </w:rPr>
        <w:t>Water loans:</w:t>
      </w:r>
      <w:r w:rsidRPr="0058616A">
        <w:rPr>
          <w:rFonts w:cstheme="minorHAnsi"/>
        </w:rPr>
        <w:t xml:space="preserve"> BDT 15,000–50,000 (BDT 25,000 on average) </w:t>
      </w:r>
    </w:p>
    <w:p w14:paraId="50C9CDD9" w14:textId="77777777" w:rsidR="00BC04C7" w:rsidRPr="0058616A" w:rsidRDefault="00BC04C7" w:rsidP="00BC04C7">
      <w:pPr>
        <w:numPr>
          <w:ilvl w:val="1"/>
          <w:numId w:val="6"/>
        </w:numPr>
        <w:autoSpaceDE w:val="0"/>
        <w:autoSpaceDN w:val="0"/>
        <w:adjustRightInd w:val="0"/>
        <w:spacing w:after="240" w:line="240" w:lineRule="auto"/>
        <w:ind w:left="1670" w:hanging="475"/>
        <w:jc w:val="both"/>
        <w:rPr>
          <w:rFonts w:cstheme="minorHAnsi"/>
        </w:rPr>
      </w:pPr>
      <w:r w:rsidRPr="0058616A">
        <w:rPr>
          <w:rFonts w:cstheme="minorHAnsi"/>
          <w:b/>
          <w:bCs/>
        </w:rPr>
        <w:t>Sanitation loans:</w:t>
      </w:r>
      <w:r w:rsidRPr="0058616A">
        <w:rPr>
          <w:rFonts w:cstheme="minorHAnsi"/>
        </w:rPr>
        <w:t xml:space="preserve"> BDT 15,000–30,000 (BDT 20,000 on average), not to exceed the costs of facilities less the subsidy </w:t>
      </w:r>
    </w:p>
    <w:p w14:paraId="68EADA5E" w14:textId="77777777" w:rsidR="00BC04C7" w:rsidRPr="0058616A" w:rsidRDefault="00BC04C7" w:rsidP="00BC04C7">
      <w:pPr>
        <w:numPr>
          <w:ilvl w:val="1"/>
          <w:numId w:val="6"/>
        </w:numPr>
        <w:autoSpaceDE w:val="0"/>
        <w:autoSpaceDN w:val="0"/>
        <w:adjustRightInd w:val="0"/>
        <w:spacing w:after="240" w:line="240" w:lineRule="auto"/>
        <w:ind w:left="1670" w:hanging="475"/>
        <w:jc w:val="both"/>
        <w:rPr>
          <w:rFonts w:cstheme="minorHAnsi"/>
        </w:rPr>
      </w:pPr>
      <w:r w:rsidRPr="0058616A">
        <w:rPr>
          <w:rFonts w:cstheme="minorHAnsi"/>
          <w:b/>
          <w:bCs/>
        </w:rPr>
        <w:t>Renovation loans for sanitation:</w:t>
      </w:r>
      <w:r w:rsidRPr="0058616A">
        <w:rPr>
          <w:rFonts w:cstheme="minorHAnsi"/>
        </w:rPr>
        <w:t xml:space="preserve"> BDT 5,000–10,000 (maximum 10 percent of sanitation loans in total), not to exceed the costs of facilities less the subsidy</w:t>
      </w:r>
    </w:p>
    <w:p w14:paraId="38AF3768" w14:textId="77777777" w:rsidR="00BC04C7" w:rsidRPr="0058616A" w:rsidRDefault="00BC04C7" w:rsidP="003E75B8">
      <w:pPr>
        <w:jc w:val="both"/>
        <w:rPr>
          <w:rFonts w:cstheme="minorHAnsi"/>
          <w:b/>
          <w:bCs/>
          <w:i/>
        </w:rPr>
      </w:pPr>
    </w:p>
    <w:p w14:paraId="067B8FB5" w14:textId="0753E61A" w:rsidR="003E75B8" w:rsidRPr="0058616A" w:rsidRDefault="003E75B8" w:rsidP="003E75B8">
      <w:pPr>
        <w:jc w:val="both"/>
        <w:rPr>
          <w:rFonts w:cstheme="minorHAnsi"/>
          <w:b/>
          <w:bCs/>
          <w:i/>
        </w:rPr>
      </w:pPr>
      <w:r w:rsidRPr="0058616A">
        <w:rPr>
          <w:rFonts w:cstheme="minorHAnsi"/>
          <w:b/>
          <w:bCs/>
          <w:i/>
        </w:rPr>
        <w:t xml:space="preserve">Local </w:t>
      </w:r>
      <w:r w:rsidR="00327F79" w:rsidRPr="0058616A">
        <w:rPr>
          <w:rFonts w:cstheme="minorHAnsi"/>
          <w:b/>
          <w:bCs/>
          <w:i/>
        </w:rPr>
        <w:t>Entrepreneurs</w:t>
      </w:r>
      <w:r w:rsidRPr="0058616A">
        <w:rPr>
          <w:rFonts w:cstheme="minorHAnsi"/>
          <w:b/>
          <w:bCs/>
          <w:i/>
        </w:rPr>
        <w:t xml:space="preserve"> Loan:</w:t>
      </w:r>
    </w:p>
    <w:p w14:paraId="4D44C88D" w14:textId="0C0B85C1" w:rsidR="003E75B8" w:rsidRPr="0058616A" w:rsidRDefault="003E75B8" w:rsidP="003E75B8">
      <w:pPr>
        <w:jc w:val="both"/>
        <w:rPr>
          <w:rFonts w:cstheme="minorHAnsi"/>
        </w:rPr>
      </w:pPr>
      <w:r w:rsidRPr="0058616A">
        <w:rPr>
          <w:rFonts w:cstheme="minorHAnsi"/>
        </w:rPr>
        <w:t xml:space="preserve">The loan facilities will be followed as per PKSF Microenterprise Loan Component which is being revised. Currently the loan ceiling is from BDT 30,000 to BDT 10,00,000 and the duration of loan repayment </w:t>
      </w:r>
      <w:r w:rsidR="00327F79" w:rsidRPr="0058616A">
        <w:rPr>
          <w:rFonts w:cstheme="minorHAnsi"/>
        </w:rPr>
        <w:t>period is</w:t>
      </w:r>
      <w:r w:rsidRPr="0058616A">
        <w:rPr>
          <w:rFonts w:cstheme="minorHAnsi"/>
        </w:rPr>
        <w:t xml:space="preserve"> maximum 2 years. The type of repayment is flexible as weekly, monthly, quarterly, half yearly, yearly etc. and the rate of interest is maximum </w:t>
      </w:r>
      <w:r w:rsidR="00BC04C7" w:rsidRPr="0058616A">
        <w:rPr>
          <w:rFonts w:cstheme="minorHAnsi"/>
        </w:rPr>
        <w:t xml:space="preserve">around </w:t>
      </w:r>
      <w:r w:rsidRPr="0058616A">
        <w:rPr>
          <w:rFonts w:cstheme="minorHAnsi"/>
        </w:rPr>
        <w:t>24 percent per annum.</w:t>
      </w:r>
    </w:p>
    <w:p w14:paraId="62CEB318" w14:textId="77777777" w:rsidR="003E75B8" w:rsidRPr="0058616A" w:rsidRDefault="003E75B8" w:rsidP="003E75B8">
      <w:pPr>
        <w:autoSpaceDE w:val="0"/>
        <w:autoSpaceDN w:val="0"/>
        <w:adjustRightInd w:val="0"/>
        <w:spacing w:after="0" w:line="240" w:lineRule="auto"/>
        <w:jc w:val="both"/>
        <w:rPr>
          <w:rFonts w:cstheme="minorHAnsi"/>
        </w:rPr>
      </w:pPr>
    </w:p>
    <w:p w14:paraId="2EB992CF" w14:textId="77777777" w:rsidR="003E75B8" w:rsidRPr="0058616A" w:rsidRDefault="003E75B8" w:rsidP="003E75B8">
      <w:pPr>
        <w:jc w:val="center"/>
        <w:rPr>
          <w:rFonts w:cstheme="minorHAnsi"/>
        </w:rPr>
      </w:pPr>
    </w:p>
    <w:p w14:paraId="2041E90A" w14:textId="77777777" w:rsidR="003E75B8" w:rsidRPr="0058616A" w:rsidRDefault="003E75B8" w:rsidP="003E75B8">
      <w:pPr>
        <w:autoSpaceDE w:val="0"/>
        <w:autoSpaceDN w:val="0"/>
        <w:adjustRightInd w:val="0"/>
        <w:spacing w:after="0" w:line="240" w:lineRule="auto"/>
        <w:jc w:val="both"/>
        <w:rPr>
          <w:rFonts w:cstheme="minorHAnsi"/>
        </w:rPr>
      </w:pPr>
    </w:p>
    <w:p w14:paraId="1B95F64F" w14:textId="77777777" w:rsidR="003E75B8" w:rsidRPr="0058616A" w:rsidRDefault="003E75B8" w:rsidP="003E75B8">
      <w:pPr>
        <w:autoSpaceDE w:val="0"/>
        <w:autoSpaceDN w:val="0"/>
        <w:adjustRightInd w:val="0"/>
        <w:spacing w:after="0" w:line="240" w:lineRule="auto"/>
        <w:jc w:val="both"/>
        <w:rPr>
          <w:rFonts w:cstheme="minorHAnsi"/>
        </w:rPr>
      </w:pPr>
    </w:p>
    <w:p w14:paraId="6316E7B9" w14:textId="77777777" w:rsidR="00FE2730" w:rsidRPr="0058616A" w:rsidRDefault="00FE2730">
      <w:pPr>
        <w:rPr>
          <w:rFonts w:cstheme="minorHAnsi"/>
        </w:rPr>
      </w:pPr>
    </w:p>
    <w:sectPr w:rsidR="00FE2730" w:rsidRPr="0058616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8D2D46" w14:textId="77777777" w:rsidR="007B0685" w:rsidRDefault="007B0685" w:rsidP="003E75B8">
      <w:pPr>
        <w:spacing w:after="0" w:line="240" w:lineRule="auto"/>
      </w:pPr>
      <w:r>
        <w:separator/>
      </w:r>
    </w:p>
  </w:endnote>
  <w:endnote w:type="continuationSeparator" w:id="0">
    <w:p w14:paraId="77DC9021" w14:textId="77777777" w:rsidR="007B0685" w:rsidRDefault="007B0685" w:rsidP="003E7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027417" w14:textId="77777777" w:rsidR="007B0685" w:rsidRDefault="007B0685" w:rsidP="003E75B8">
      <w:pPr>
        <w:spacing w:after="0" w:line="240" w:lineRule="auto"/>
      </w:pPr>
      <w:r>
        <w:separator/>
      </w:r>
    </w:p>
  </w:footnote>
  <w:footnote w:type="continuationSeparator" w:id="0">
    <w:p w14:paraId="54510C5D" w14:textId="77777777" w:rsidR="007B0685" w:rsidRDefault="007B0685" w:rsidP="003E75B8">
      <w:pPr>
        <w:spacing w:after="0" w:line="240" w:lineRule="auto"/>
      </w:pPr>
      <w:r>
        <w:continuationSeparator/>
      </w:r>
    </w:p>
  </w:footnote>
  <w:footnote w:id="1">
    <w:p w14:paraId="2B05A805" w14:textId="77777777" w:rsidR="003E75B8" w:rsidRDefault="003E75B8" w:rsidP="003E75B8">
      <w:pPr>
        <w:pStyle w:val="FootnoteText"/>
      </w:pPr>
      <w:r>
        <w:rPr>
          <w:rStyle w:val="FootnoteReference"/>
        </w:rPr>
        <w:footnoteRef/>
      </w:r>
      <w:r>
        <w:t xml:space="preserve"> </w:t>
      </w:r>
      <w:r w:rsidRPr="00186895">
        <w:rPr>
          <w:rFonts w:ascii="Times New Roman" w:hAnsi="Times New Roman" w:cs="Times New Roman"/>
        </w:rPr>
        <w:t xml:space="preserve">based on </w:t>
      </w:r>
      <w:r>
        <w:rPr>
          <w:rFonts w:ascii="Times New Roman" w:hAnsi="Times New Roman" w:cs="Times New Roman"/>
        </w:rPr>
        <w:t>the Household Income and Expenditure Survey 2016 (HIES 2016), BBS</w:t>
      </w:r>
    </w:p>
  </w:footnote>
  <w:footnote w:id="2">
    <w:p w14:paraId="130B96DE" w14:textId="77777777" w:rsidR="003E75B8" w:rsidRDefault="003E75B8" w:rsidP="003E75B8">
      <w:pPr>
        <w:pStyle w:val="FootnoteText"/>
      </w:pPr>
      <w:r>
        <w:rPr>
          <w:rStyle w:val="FootnoteReference"/>
        </w:rPr>
        <w:footnoteRef/>
      </w:r>
      <w:r>
        <w:t xml:space="preserve"> </w:t>
      </w:r>
      <w:r w:rsidRPr="00710350">
        <w:rPr>
          <w:rFonts w:ascii="Times New Roman" w:hAnsi="Times New Roman" w:cs="Times New Roman"/>
        </w:rPr>
        <w:t xml:space="preserve">Source Bangladesh Bank, </w:t>
      </w:r>
      <w:r>
        <w:rPr>
          <w:rFonts w:ascii="Times New Roman" w:hAnsi="Times New Roman" w:cs="Times New Roman"/>
        </w:rPr>
        <w:t>January</w:t>
      </w:r>
      <w:r w:rsidRPr="00710350">
        <w:rPr>
          <w:rFonts w:ascii="Times New Roman" w:hAnsi="Times New Roman" w:cs="Times New Roman"/>
        </w:rPr>
        <w:t xml:space="preserve"> 20</w:t>
      </w:r>
      <w:r>
        <w:rPr>
          <w:rFonts w:ascii="Times New Roman" w:hAnsi="Times New Roman" w:cs="Times New Roman"/>
        </w:rPr>
        <w:t>20</w:t>
      </w:r>
      <w:r w:rsidRPr="00710350">
        <w:rPr>
          <w:rFonts w:ascii="Times New Roman" w:hAnsi="Times New Roman" w:cs="Times New Roman"/>
        </w:rPr>
        <w:t xml:space="preserve"> </w:t>
      </w:r>
      <w:hyperlink r:id="rId1" w:history="1">
        <w:r w:rsidRPr="00710350">
          <w:rPr>
            <w:rStyle w:val="Hyperlink"/>
            <w:rFonts w:ascii="Times New Roman" w:hAnsi="Times New Roman" w:cs="Times New Roman"/>
          </w:rPr>
          <w:t>https://www.bb.org.bd/econdata/w_avg_interest.php</w:t>
        </w:r>
      </w:hyperlink>
      <w:r w:rsidRPr="00710350">
        <w:rPr>
          <w:rFonts w:ascii="Times New Roman" w:hAnsi="Times New Roman" w:cs="Times New Roman"/>
        </w:rPr>
        <w:t xml:space="preserve"> </w:t>
      </w:r>
    </w:p>
  </w:footnote>
  <w:footnote w:id="3">
    <w:p w14:paraId="3EA78E54" w14:textId="77777777" w:rsidR="003E75B8" w:rsidRDefault="003E75B8" w:rsidP="003E75B8">
      <w:pPr>
        <w:pStyle w:val="FootnoteText"/>
      </w:pPr>
      <w:r>
        <w:rPr>
          <w:rStyle w:val="FootnoteReference"/>
        </w:rPr>
        <w:footnoteRef/>
      </w:r>
      <w:r>
        <w:t xml:space="preserve"> Bangladeshi Taka (BDT). Throughout the annex, the exchange rate used </w:t>
      </w:r>
      <w:r w:rsidRPr="00624B57">
        <w:t>was 1US$=85 BDT.</w:t>
      </w:r>
    </w:p>
  </w:footnote>
  <w:footnote w:id="4">
    <w:p w14:paraId="49462B01" w14:textId="77777777" w:rsidR="007A5A03" w:rsidRPr="00D71631" w:rsidRDefault="007A5A03" w:rsidP="007A5A03">
      <w:pPr>
        <w:pStyle w:val="FootnoteText"/>
        <w:keepNext/>
        <w:keepLines/>
        <w:contextualSpacing/>
        <w:mirrorIndents/>
        <w:rPr>
          <w:lang w:eastAsia="ko-KR"/>
        </w:rPr>
      </w:pPr>
      <w:r>
        <w:rPr>
          <w:rStyle w:val="FootnoteReference"/>
        </w:rPr>
        <w:footnoteRef/>
      </w:r>
      <w:r>
        <w:t xml:space="preserve"> </w:t>
      </w:r>
      <w:r w:rsidRPr="009B272C">
        <w:t xml:space="preserve">Contributed solely by </w:t>
      </w:r>
      <w:r>
        <w:t>the Palli Karma-Sahayak Foundation (</w:t>
      </w:r>
      <w:r w:rsidRPr="009B272C">
        <w:t>PKSF</w:t>
      </w:r>
      <w:r>
        <w:t>)</w:t>
      </w:r>
      <w:r w:rsidRPr="009B272C">
        <w:t>.</w:t>
      </w:r>
    </w:p>
  </w:footnote>
  <w:footnote w:id="5">
    <w:p w14:paraId="23ECB130" w14:textId="77777777" w:rsidR="007A5A03" w:rsidRDefault="007A5A03" w:rsidP="007A5A03">
      <w:pPr>
        <w:pStyle w:val="FootnoteText"/>
        <w:keepNext/>
        <w:keepLines/>
        <w:contextualSpacing/>
        <w:mirrorIndents/>
        <w:rPr>
          <w:lang w:eastAsia="ko-KR"/>
        </w:rPr>
      </w:pPr>
      <w:r>
        <w:rPr>
          <w:rStyle w:val="FootnoteReference"/>
        </w:rPr>
        <w:footnoteRef/>
      </w:r>
      <w:r>
        <w:t xml:space="preserve"> </w:t>
      </w:r>
      <w:r w:rsidRPr="00331BD3">
        <w:t xml:space="preserve">Contributed solely by </w:t>
      </w:r>
      <w:r>
        <w:t xml:space="preserve">the </w:t>
      </w:r>
      <w:r w:rsidRPr="00331BD3">
        <w:t>PKSF.</w:t>
      </w:r>
    </w:p>
  </w:footnote>
  <w:footnote w:id="6">
    <w:p w14:paraId="4ADDC964" w14:textId="77777777" w:rsidR="00087E22" w:rsidRDefault="00087E22" w:rsidP="00087E22">
      <w:pPr>
        <w:pStyle w:val="FootnoteText"/>
        <w:keepNext/>
        <w:keepLines/>
        <w:contextualSpacing/>
        <w:mirrorIndents/>
        <w:rPr>
          <w:rFonts w:cstheme="minorHAnsi"/>
          <w:szCs w:val="18"/>
        </w:rPr>
      </w:pPr>
      <w:r w:rsidRPr="00325720">
        <w:rPr>
          <w:rStyle w:val="FootnoteReference"/>
        </w:rPr>
        <w:footnoteRef/>
      </w:r>
      <w:r w:rsidRPr="00325720">
        <w:t xml:space="preserve"> </w:t>
      </w:r>
      <w:r w:rsidRPr="00325720">
        <w:rPr>
          <w:rFonts w:cstheme="minorHAnsi"/>
          <w:szCs w:val="18"/>
        </w:rPr>
        <w:t>The interest rate and repayment period will be finalized by the PKSF Board according to the agreement with the FID.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21E1E"/>
    <w:multiLevelType w:val="hybridMultilevel"/>
    <w:tmpl w:val="D0F62B56"/>
    <w:lvl w:ilvl="0" w:tplc="D884D460">
      <w:start w:val="1"/>
      <w:numFmt w:val="lowerRoman"/>
      <w:lvlText w:val="(%1)"/>
      <w:lvlJc w:val="left"/>
      <w:pPr>
        <w:ind w:left="720" w:hanging="360"/>
      </w:pPr>
      <w:rPr>
        <w:rFonts w:hint="default"/>
        <w:b w:val="0"/>
        <w:bCs/>
      </w:rPr>
    </w:lvl>
    <w:lvl w:ilvl="1" w:tplc="BB0658F8" w:tentative="1">
      <w:start w:val="1"/>
      <w:numFmt w:val="lowerLetter"/>
      <w:lvlText w:val="%2."/>
      <w:lvlJc w:val="left"/>
      <w:pPr>
        <w:ind w:left="1440" w:hanging="360"/>
      </w:pPr>
    </w:lvl>
    <w:lvl w:ilvl="2" w:tplc="7418611E" w:tentative="1">
      <w:start w:val="1"/>
      <w:numFmt w:val="lowerRoman"/>
      <w:lvlText w:val="%3."/>
      <w:lvlJc w:val="right"/>
      <w:pPr>
        <w:ind w:left="2160" w:hanging="180"/>
      </w:pPr>
    </w:lvl>
    <w:lvl w:ilvl="3" w:tplc="3CFAB828" w:tentative="1">
      <w:start w:val="1"/>
      <w:numFmt w:val="decimal"/>
      <w:lvlText w:val="%4."/>
      <w:lvlJc w:val="left"/>
      <w:pPr>
        <w:ind w:left="2880" w:hanging="360"/>
      </w:pPr>
    </w:lvl>
    <w:lvl w:ilvl="4" w:tplc="549C6A5E" w:tentative="1">
      <w:start w:val="1"/>
      <w:numFmt w:val="lowerLetter"/>
      <w:lvlText w:val="%5."/>
      <w:lvlJc w:val="left"/>
      <w:pPr>
        <w:ind w:left="3600" w:hanging="360"/>
      </w:pPr>
    </w:lvl>
    <w:lvl w:ilvl="5" w:tplc="22D469D2" w:tentative="1">
      <w:start w:val="1"/>
      <w:numFmt w:val="lowerRoman"/>
      <w:lvlText w:val="%6."/>
      <w:lvlJc w:val="right"/>
      <w:pPr>
        <w:ind w:left="4320" w:hanging="180"/>
      </w:pPr>
    </w:lvl>
    <w:lvl w:ilvl="6" w:tplc="2B5E1150" w:tentative="1">
      <w:start w:val="1"/>
      <w:numFmt w:val="decimal"/>
      <w:lvlText w:val="%7."/>
      <w:lvlJc w:val="left"/>
      <w:pPr>
        <w:ind w:left="5040" w:hanging="360"/>
      </w:pPr>
    </w:lvl>
    <w:lvl w:ilvl="7" w:tplc="95BCC542" w:tentative="1">
      <w:start w:val="1"/>
      <w:numFmt w:val="lowerLetter"/>
      <w:lvlText w:val="%8."/>
      <w:lvlJc w:val="left"/>
      <w:pPr>
        <w:ind w:left="5760" w:hanging="360"/>
      </w:pPr>
    </w:lvl>
    <w:lvl w:ilvl="8" w:tplc="FFF2A81C" w:tentative="1">
      <w:start w:val="1"/>
      <w:numFmt w:val="lowerRoman"/>
      <w:lvlText w:val="%9."/>
      <w:lvlJc w:val="right"/>
      <w:pPr>
        <w:ind w:left="6480" w:hanging="180"/>
      </w:pPr>
    </w:lvl>
  </w:abstractNum>
  <w:abstractNum w:abstractNumId="1" w15:restartNumberingAfterBreak="0">
    <w:nsid w:val="26B22F49"/>
    <w:multiLevelType w:val="hybridMultilevel"/>
    <w:tmpl w:val="A06608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BC85906"/>
    <w:multiLevelType w:val="hybridMultilevel"/>
    <w:tmpl w:val="6AB04E0E"/>
    <w:lvl w:ilvl="0" w:tplc="91E81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D31AB5"/>
    <w:multiLevelType w:val="hybridMultilevel"/>
    <w:tmpl w:val="3CC6E41A"/>
    <w:lvl w:ilvl="0" w:tplc="28CC73B4">
      <w:start w:val="1"/>
      <w:numFmt w:val="lowerRoman"/>
      <w:lvlText w:val="(%1)"/>
      <w:lvlJc w:val="left"/>
      <w:pPr>
        <w:ind w:left="720" w:hanging="360"/>
      </w:pPr>
      <w:rPr>
        <w:rFonts w:hint="default"/>
        <w:b w:val="0"/>
        <w:bCs/>
      </w:rPr>
    </w:lvl>
    <w:lvl w:ilvl="1" w:tplc="2FE4C0A2" w:tentative="1">
      <w:start w:val="1"/>
      <w:numFmt w:val="lowerLetter"/>
      <w:lvlText w:val="%2."/>
      <w:lvlJc w:val="left"/>
      <w:pPr>
        <w:ind w:left="1440" w:hanging="360"/>
      </w:pPr>
    </w:lvl>
    <w:lvl w:ilvl="2" w:tplc="89A61062" w:tentative="1">
      <w:start w:val="1"/>
      <w:numFmt w:val="lowerRoman"/>
      <w:lvlText w:val="%3."/>
      <w:lvlJc w:val="right"/>
      <w:pPr>
        <w:ind w:left="2160" w:hanging="180"/>
      </w:pPr>
    </w:lvl>
    <w:lvl w:ilvl="3" w:tplc="BB7617CA" w:tentative="1">
      <w:start w:val="1"/>
      <w:numFmt w:val="decimal"/>
      <w:lvlText w:val="%4."/>
      <w:lvlJc w:val="left"/>
      <w:pPr>
        <w:ind w:left="2880" w:hanging="360"/>
      </w:pPr>
    </w:lvl>
    <w:lvl w:ilvl="4" w:tplc="FF087C08" w:tentative="1">
      <w:start w:val="1"/>
      <w:numFmt w:val="lowerLetter"/>
      <w:lvlText w:val="%5."/>
      <w:lvlJc w:val="left"/>
      <w:pPr>
        <w:ind w:left="3600" w:hanging="360"/>
      </w:pPr>
    </w:lvl>
    <w:lvl w:ilvl="5" w:tplc="E27C3032" w:tentative="1">
      <w:start w:val="1"/>
      <w:numFmt w:val="lowerRoman"/>
      <w:lvlText w:val="%6."/>
      <w:lvlJc w:val="right"/>
      <w:pPr>
        <w:ind w:left="4320" w:hanging="180"/>
      </w:pPr>
    </w:lvl>
    <w:lvl w:ilvl="6" w:tplc="4EA2EFAA" w:tentative="1">
      <w:start w:val="1"/>
      <w:numFmt w:val="decimal"/>
      <w:lvlText w:val="%7."/>
      <w:lvlJc w:val="left"/>
      <w:pPr>
        <w:ind w:left="5040" w:hanging="360"/>
      </w:pPr>
    </w:lvl>
    <w:lvl w:ilvl="7" w:tplc="EDD22B08" w:tentative="1">
      <w:start w:val="1"/>
      <w:numFmt w:val="lowerLetter"/>
      <w:lvlText w:val="%8."/>
      <w:lvlJc w:val="left"/>
      <w:pPr>
        <w:ind w:left="5760" w:hanging="360"/>
      </w:pPr>
    </w:lvl>
    <w:lvl w:ilvl="8" w:tplc="563CD27C" w:tentative="1">
      <w:start w:val="1"/>
      <w:numFmt w:val="lowerRoman"/>
      <w:lvlText w:val="%9."/>
      <w:lvlJc w:val="right"/>
      <w:pPr>
        <w:ind w:left="6480" w:hanging="180"/>
      </w:pPr>
    </w:lvl>
  </w:abstractNum>
  <w:abstractNum w:abstractNumId="4" w15:restartNumberingAfterBreak="0">
    <w:nsid w:val="4B803256"/>
    <w:multiLevelType w:val="hybridMultilevel"/>
    <w:tmpl w:val="5D446902"/>
    <w:lvl w:ilvl="0" w:tplc="8F343E32">
      <w:start w:val="1"/>
      <w:numFmt w:val="decimal"/>
      <w:lvlText w:val="%1."/>
      <w:lvlJc w:val="left"/>
      <w:pPr>
        <w:ind w:left="86" w:hanging="360"/>
      </w:pPr>
      <w:rPr>
        <w:rFonts w:asciiTheme="minorHAnsi" w:hAnsiTheme="minorHAnsi" w:cstheme="minorHAnsi" w:hint="default"/>
        <w:b w:val="0"/>
        <w:color w:val="auto"/>
        <w:sz w:val="22"/>
        <w:szCs w:val="22"/>
      </w:rPr>
    </w:lvl>
    <w:lvl w:ilvl="1" w:tplc="6EAAE3A8">
      <w:start w:val="1"/>
      <w:numFmt w:val="lowerLetter"/>
      <w:lvlText w:val="%2."/>
      <w:lvlJc w:val="left"/>
      <w:pPr>
        <w:ind w:left="806" w:hanging="360"/>
      </w:pPr>
    </w:lvl>
    <w:lvl w:ilvl="2" w:tplc="24B48B66">
      <w:start w:val="1"/>
      <w:numFmt w:val="lowerRoman"/>
      <w:lvlText w:val="(%3)"/>
      <w:lvlJc w:val="left"/>
      <w:pPr>
        <w:ind w:left="1526" w:hanging="180"/>
      </w:pPr>
      <w:rPr>
        <w:rFonts w:hint="default"/>
      </w:rPr>
    </w:lvl>
    <w:lvl w:ilvl="3" w:tplc="54189576">
      <w:start w:val="1"/>
      <w:numFmt w:val="upperLetter"/>
      <w:lvlText w:val="%4."/>
      <w:lvlJc w:val="left"/>
      <w:pPr>
        <w:ind w:left="2246" w:hanging="360"/>
      </w:pPr>
      <w:rPr>
        <w:rFonts w:hint="default"/>
      </w:rPr>
    </w:lvl>
    <w:lvl w:ilvl="4" w:tplc="55C4C8FA" w:tentative="1">
      <w:start w:val="1"/>
      <w:numFmt w:val="lowerLetter"/>
      <w:lvlText w:val="%5."/>
      <w:lvlJc w:val="left"/>
      <w:pPr>
        <w:ind w:left="2966" w:hanging="360"/>
      </w:pPr>
    </w:lvl>
    <w:lvl w:ilvl="5" w:tplc="A6628416" w:tentative="1">
      <w:start w:val="1"/>
      <w:numFmt w:val="lowerRoman"/>
      <w:lvlText w:val="%6."/>
      <w:lvlJc w:val="right"/>
      <w:pPr>
        <w:ind w:left="3686" w:hanging="180"/>
      </w:pPr>
    </w:lvl>
    <w:lvl w:ilvl="6" w:tplc="D42C307E" w:tentative="1">
      <w:start w:val="1"/>
      <w:numFmt w:val="decimal"/>
      <w:lvlText w:val="%7."/>
      <w:lvlJc w:val="left"/>
      <w:pPr>
        <w:ind w:left="4406" w:hanging="360"/>
      </w:pPr>
    </w:lvl>
    <w:lvl w:ilvl="7" w:tplc="E2485F6E" w:tentative="1">
      <w:start w:val="1"/>
      <w:numFmt w:val="lowerLetter"/>
      <w:lvlText w:val="%8."/>
      <w:lvlJc w:val="left"/>
      <w:pPr>
        <w:ind w:left="5126" w:hanging="360"/>
      </w:pPr>
    </w:lvl>
    <w:lvl w:ilvl="8" w:tplc="6BD446F2" w:tentative="1">
      <w:start w:val="1"/>
      <w:numFmt w:val="lowerRoman"/>
      <w:lvlText w:val="%9."/>
      <w:lvlJc w:val="right"/>
      <w:pPr>
        <w:ind w:left="5846" w:hanging="180"/>
      </w:pPr>
    </w:lvl>
  </w:abstractNum>
  <w:abstractNum w:abstractNumId="5" w15:restartNumberingAfterBreak="0">
    <w:nsid w:val="4E7B7E05"/>
    <w:multiLevelType w:val="hybridMultilevel"/>
    <w:tmpl w:val="88D6202A"/>
    <w:lvl w:ilvl="0" w:tplc="6978B75C">
      <w:start w:val="1"/>
      <w:numFmt w:val="lowerRoman"/>
      <w:lvlText w:val="(%1)"/>
      <w:lvlJc w:val="left"/>
      <w:pPr>
        <w:ind w:left="720" w:hanging="360"/>
      </w:pPr>
      <w:rPr>
        <w:rFonts w:hint="default"/>
      </w:rPr>
    </w:lvl>
    <w:lvl w:ilvl="1" w:tplc="F9F26292" w:tentative="1">
      <w:start w:val="1"/>
      <w:numFmt w:val="lowerLetter"/>
      <w:lvlText w:val="%2."/>
      <w:lvlJc w:val="left"/>
      <w:pPr>
        <w:ind w:left="1440" w:hanging="360"/>
      </w:pPr>
    </w:lvl>
    <w:lvl w:ilvl="2" w:tplc="09BA8E58" w:tentative="1">
      <w:start w:val="1"/>
      <w:numFmt w:val="lowerRoman"/>
      <w:lvlText w:val="%3."/>
      <w:lvlJc w:val="right"/>
      <w:pPr>
        <w:ind w:left="2160" w:hanging="180"/>
      </w:pPr>
    </w:lvl>
    <w:lvl w:ilvl="3" w:tplc="537C54FC" w:tentative="1">
      <w:start w:val="1"/>
      <w:numFmt w:val="decimal"/>
      <w:lvlText w:val="%4."/>
      <w:lvlJc w:val="left"/>
      <w:pPr>
        <w:ind w:left="2880" w:hanging="360"/>
      </w:pPr>
    </w:lvl>
    <w:lvl w:ilvl="4" w:tplc="B57CD256" w:tentative="1">
      <w:start w:val="1"/>
      <w:numFmt w:val="lowerLetter"/>
      <w:lvlText w:val="%5."/>
      <w:lvlJc w:val="left"/>
      <w:pPr>
        <w:ind w:left="3600" w:hanging="360"/>
      </w:pPr>
    </w:lvl>
    <w:lvl w:ilvl="5" w:tplc="DDBAC984" w:tentative="1">
      <w:start w:val="1"/>
      <w:numFmt w:val="lowerRoman"/>
      <w:lvlText w:val="%6."/>
      <w:lvlJc w:val="right"/>
      <w:pPr>
        <w:ind w:left="4320" w:hanging="180"/>
      </w:pPr>
    </w:lvl>
    <w:lvl w:ilvl="6" w:tplc="75909454" w:tentative="1">
      <w:start w:val="1"/>
      <w:numFmt w:val="decimal"/>
      <w:lvlText w:val="%7."/>
      <w:lvlJc w:val="left"/>
      <w:pPr>
        <w:ind w:left="5040" w:hanging="360"/>
      </w:pPr>
    </w:lvl>
    <w:lvl w:ilvl="7" w:tplc="083C356C" w:tentative="1">
      <w:start w:val="1"/>
      <w:numFmt w:val="lowerLetter"/>
      <w:lvlText w:val="%8."/>
      <w:lvlJc w:val="left"/>
      <w:pPr>
        <w:ind w:left="5760" w:hanging="360"/>
      </w:pPr>
    </w:lvl>
    <w:lvl w:ilvl="8" w:tplc="D264FC8A" w:tentative="1">
      <w:start w:val="1"/>
      <w:numFmt w:val="lowerRoman"/>
      <w:lvlText w:val="%9."/>
      <w:lvlJc w:val="right"/>
      <w:pPr>
        <w:ind w:left="6480" w:hanging="180"/>
      </w:pPr>
    </w:lvl>
  </w:abstractNum>
  <w:abstractNum w:abstractNumId="6" w15:restartNumberingAfterBreak="0">
    <w:nsid w:val="537C72A9"/>
    <w:multiLevelType w:val="hybridMultilevel"/>
    <w:tmpl w:val="3C9A609C"/>
    <w:lvl w:ilvl="0" w:tplc="B10ED9B0">
      <w:start w:val="1"/>
      <w:numFmt w:val="lowerLetter"/>
      <w:lvlText w:val="(%1)"/>
      <w:lvlJc w:val="left"/>
      <w:pPr>
        <w:ind w:left="450" w:hanging="360"/>
      </w:pPr>
      <w:rPr>
        <w:rFonts w:hint="default"/>
        <w:b w:val="0"/>
        <w:color w:val="auto"/>
        <w:sz w:val="22"/>
        <w:szCs w:val="22"/>
      </w:rPr>
    </w:lvl>
    <w:lvl w:ilvl="1" w:tplc="DEA85412">
      <w:start w:val="1"/>
      <w:numFmt w:val="lowerLetter"/>
      <w:lvlText w:val="(%2)"/>
      <w:lvlJc w:val="left"/>
      <w:pPr>
        <w:ind w:left="1440" w:hanging="360"/>
      </w:pPr>
      <w:rPr>
        <w:rFonts w:hint="default"/>
      </w:rPr>
    </w:lvl>
    <w:lvl w:ilvl="2" w:tplc="96ACE78E" w:tentative="1">
      <w:start w:val="1"/>
      <w:numFmt w:val="lowerRoman"/>
      <w:lvlText w:val="%3."/>
      <w:lvlJc w:val="right"/>
      <w:pPr>
        <w:ind w:left="2160" w:hanging="180"/>
      </w:pPr>
    </w:lvl>
    <w:lvl w:ilvl="3" w:tplc="CCEC39F2" w:tentative="1">
      <w:start w:val="1"/>
      <w:numFmt w:val="decimal"/>
      <w:lvlText w:val="%4."/>
      <w:lvlJc w:val="left"/>
      <w:pPr>
        <w:ind w:left="2880" w:hanging="360"/>
      </w:pPr>
    </w:lvl>
    <w:lvl w:ilvl="4" w:tplc="67823E9A" w:tentative="1">
      <w:start w:val="1"/>
      <w:numFmt w:val="lowerLetter"/>
      <w:lvlText w:val="%5."/>
      <w:lvlJc w:val="left"/>
      <w:pPr>
        <w:ind w:left="3600" w:hanging="360"/>
      </w:pPr>
    </w:lvl>
    <w:lvl w:ilvl="5" w:tplc="20304A2C" w:tentative="1">
      <w:start w:val="1"/>
      <w:numFmt w:val="lowerRoman"/>
      <w:lvlText w:val="%6."/>
      <w:lvlJc w:val="right"/>
      <w:pPr>
        <w:ind w:left="4320" w:hanging="180"/>
      </w:pPr>
    </w:lvl>
    <w:lvl w:ilvl="6" w:tplc="D4D2272E" w:tentative="1">
      <w:start w:val="1"/>
      <w:numFmt w:val="decimal"/>
      <w:lvlText w:val="%7."/>
      <w:lvlJc w:val="left"/>
      <w:pPr>
        <w:ind w:left="5040" w:hanging="360"/>
      </w:pPr>
    </w:lvl>
    <w:lvl w:ilvl="7" w:tplc="7DDCDFBE" w:tentative="1">
      <w:start w:val="1"/>
      <w:numFmt w:val="lowerLetter"/>
      <w:lvlText w:val="%8."/>
      <w:lvlJc w:val="left"/>
      <w:pPr>
        <w:ind w:left="5760" w:hanging="360"/>
      </w:pPr>
    </w:lvl>
    <w:lvl w:ilvl="8" w:tplc="3D1851C0" w:tentative="1">
      <w:start w:val="1"/>
      <w:numFmt w:val="lowerRoman"/>
      <w:lvlText w:val="%9."/>
      <w:lvlJc w:val="right"/>
      <w:pPr>
        <w:ind w:left="6480" w:hanging="180"/>
      </w:pPr>
    </w:lvl>
  </w:abstractNum>
  <w:abstractNum w:abstractNumId="7" w15:restartNumberingAfterBreak="0">
    <w:nsid w:val="6D4A0179"/>
    <w:multiLevelType w:val="hybridMultilevel"/>
    <w:tmpl w:val="0BA280CC"/>
    <w:lvl w:ilvl="0" w:tplc="4BA8C676">
      <w:start w:val="1"/>
      <w:numFmt w:val="lowerLetter"/>
      <w:lvlText w:val="(%1)"/>
      <w:lvlJc w:val="left"/>
      <w:pPr>
        <w:ind w:left="810" w:hanging="360"/>
      </w:pPr>
      <w:rPr>
        <w:rFonts w:hint="default"/>
        <w:color w:val="auto"/>
      </w:rPr>
    </w:lvl>
    <w:lvl w:ilvl="1" w:tplc="22A46262">
      <w:start w:val="1"/>
      <w:numFmt w:val="lowerRoman"/>
      <w:lvlText w:val="(%2)"/>
      <w:lvlJc w:val="left"/>
      <w:pPr>
        <w:ind w:left="1800" w:hanging="360"/>
      </w:pPr>
      <w:rPr>
        <w:rFonts w:hint="default"/>
      </w:rPr>
    </w:lvl>
    <w:lvl w:ilvl="2" w:tplc="A6361156" w:tentative="1">
      <w:start w:val="1"/>
      <w:numFmt w:val="lowerRoman"/>
      <w:lvlText w:val="%3."/>
      <w:lvlJc w:val="right"/>
      <w:pPr>
        <w:ind w:left="2520" w:hanging="180"/>
      </w:pPr>
    </w:lvl>
    <w:lvl w:ilvl="3" w:tplc="5C4AE9AA" w:tentative="1">
      <w:start w:val="1"/>
      <w:numFmt w:val="decimal"/>
      <w:lvlText w:val="%4."/>
      <w:lvlJc w:val="left"/>
      <w:pPr>
        <w:ind w:left="3240" w:hanging="360"/>
      </w:pPr>
    </w:lvl>
    <w:lvl w:ilvl="4" w:tplc="D708DAE6" w:tentative="1">
      <w:start w:val="1"/>
      <w:numFmt w:val="lowerLetter"/>
      <w:lvlText w:val="%5."/>
      <w:lvlJc w:val="left"/>
      <w:pPr>
        <w:ind w:left="3960" w:hanging="360"/>
      </w:pPr>
    </w:lvl>
    <w:lvl w:ilvl="5" w:tplc="491AC4B0" w:tentative="1">
      <w:start w:val="1"/>
      <w:numFmt w:val="lowerRoman"/>
      <w:lvlText w:val="%6."/>
      <w:lvlJc w:val="right"/>
      <w:pPr>
        <w:ind w:left="4680" w:hanging="180"/>
      </w:pPr>
    </w:lvl>
    <w:lvl w:ilvl="6" w:tplc="2D1AA8B6" w:tentative="1">
      <w:start w:val="1"/>
      <w:numFmt w:val="decimal"/>
      <w:lvlText w:val="%7."/>
      <w:lvlJc w:val="left"/>
      <w:pPr>
        <w:ind w:left="5400" w:hanging="360"/>
      </w:pPr>
    </w:lvl>
    <w:lvl w:ilvl="7" w:tplc="DFCAF7DA" w:tentative="1">
      <w:start w:val="1"/>
      <w:numFmt w:val="lowerLetter"/>
      <w:lvlText w:val="%8."/>
      <w:lvlJc w:val="left"/>
      <w:pPr>
        <w:ind w:left="6120" w:hanging="360"/>
      </w:pPr>
    </w:lvl>
    <w:lvl w:ilvl="8" w:tplc="184ED6EA" w:tentative="1">
      <w:start w:val="1"/>
      <w:numFmt w:val="lowerRoman"/>
      <w:lvlText w:val="%9."/>
      <w:lvlJc w:val="right"/>
      <w:pPr>
        <w:ind w:left="6840" w:hanging="180"/>
      </w:pPr>
    </w:lvl>
  </w:abstractNum>
  <w:abstractNum w:abstractNumId="8" w15:restartNumberingAfterBreak="0">
    <w:nsid w:val="70B53195"/>
    <w:multiLevelType w:val="hybridMultilevel"/>
    <w:tmpl w:val="B4FCA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A36747"/>
    <w:multiLevelType w:val="hybridMultilevel"/>
    <w:tmpl w:val="C38A2D36"/>
    <w:lvl w:ilvl="0" w:tplc="8D3A6634">
      <w:start w:val="1"/>
      <w:numFmt w:val="lowerLetter"/>
      <w:lvlText w:val="(%1)"/>
      <w:lvlJc w:val="left"/>
      <w:pPr>
        <w:ind w:left="810" w:hanging="360"/>
      </w:pPr>
      <w:rPr>
        <w:rFonts w:hint="default"/>
        <w:color w:val="auto"/>
      </w:rPr>
    </w:lvl>
    <w:lvl w:ilvl="1" w:tplc="58B8DE44">
      <w:start w:val="1"/>
      <w:numFmt w:val="bullet"/>
      <w:lvlText w:val=""/>
      <w:lvlJc w:val="left"/>
      <w:pPr>
        <w:ind w:left="1800" w:hanging="360"/>
      </w:pPr>
      <w:rPr>
        <w:rFonts w:ascii="Symbol" w:hAnsi="Symbol" w:hint="default"/>
      </w:rPr>
    </w:lvl>
    <w:lvl w:ilvl="2" w:tplc="88582814" w:tentative="1">
      <w:start w:val="1"/>
      <w:numFmt w:val="lowerRoman"/>
      <w:lvlText w:val="%3."/>
      <w:lvlJc w:val="right"/>
      <w:pPr>
        <w:ind w:left="2520" w:hanging="180"/>
      </w:pPr>
    </w:lvl>
    <w:lvl w:ilvl="3" w:tplc="0DE66F08" w:tentative="1">
      <w:start w:val="1"/>
      <w:numFmt w:val="decimal"/>
      <w:lvlText w:val="%4."/>
      <w:lvlJc w:val="left"/>
      <w:pPr>
        <w:ind w:left="3240" w:hanging="360"/>
      </w:pPr>
    </w:lvl>
    <w:lvl w:ilvl="4" w:tplc="07EEAFAE" w:tentative="1">
      <w:start w:val="1"/>
      <w:numFmt w:val="lowerLetter"/>
      <w:lvlText w:val="%5."/>
      <w:lvlJc w:val="left"/>
      <w:pPr>
        <w:ind w:left="3960" w:hanging="360"/>
      </w:pPr>
    </w:lvl>
    <w:lvl w:ilvl="5" w:tplc="148C933C" w:tentative="1">
      <w:start w:val="1"/>
      <w:numFmt w:val="lowerRoman"/>
      <w:lvlText w:val="%6."/>
      <w:lvlJc w:val="right"/>
      <w:pPr>
        <w:ind w:left="4680" w:hanging="180"/>
      </w:pPr>
    </w:lvl>
    <w:lvl w:ilvl="6" w:tplc="DB865A72" w:tentative="1">
      <w:start w:val="1"/>
      <w:numFmt w:val="decimal"/>
      <w:lvlText w:val="%7."/>
      <w:lvlJc w:val="left"/>
      <w:pPr>
        <w:ind w:left="5400" w:hanging="360"/>
      </w:pPr>
    </w:lvl>
    <w:lvl w:ilvl="7" w:tplc="302A1C14" w:tentative="1">
      <w:start w:val="1"/>
      <w:numFmt w:val="lowerLetter"/>
      <w:lvlText w:val="%8."/>
      <w:lvlJc w:val="left"/>
      <w:pPr>
        <w:ind w:left="6120" w:hanging="360"/>
      </w:pPr>
    </w:lvl>
    <w:lvl w:ilvl="8" w:tplc="AFF0F820" w:tentative="1">
      <w:start w:val="1"/>
      <w:numFmt w:val="lowerRoman"/>
      <w:lvlText w:val="%9."/>
      <w:lvlJc w:val="right"/>
      <w:pPr>
        <w:ind w:left="6840" w:hanging="180"/>
      </w:pPr>
    </w:lvl>
  </w:abstractNum>
  <w:abstractNum w:abstractNumId="10" w15:restartNumberingAfterBreak="0">
    <w:nsid w:val="75E65A49"/>
    <w:multiLevelType w:val="hybridMultilevel"/>
    <w:tmpl w:val="DA64DC30"/>
    <w:lvl w:ilvl="0" w:tplc="0D0E134E">
      <w:start w:val="1"/>
      <w:numFmt w:val="lowerRoman"/>
      <w:lvlText w:val="(%1)"/>
      <w:lvlJc w:val="left"/>
      <w:pPr>
        <w:ind w:left="720" w:hanging="360"/>
      </w:pPr>
      <w:rPr>
        <w:rFonts w:hint="default"/>
      </w:rPr>
    </w:lvl>
    <w:lvl w:ilvl="1" w:tplc="F990AB1C" w:tentative="1">
      <w:start w:val="1"/>
      <w:numFmt w:val="lowerLetter"/>
      <w:lvlText w:val="%2."/>
      <w:lvlJc w:val="left"/>
      <w:pPr>
        <w:ind w:left="1440" w:hanging="360"/>
      </w:pPr>
    </w:lvl>
    <w:lvl w:ilvl="2" w:tplc="C23CFFB8" w:tentative="1">
      <w:start w:val="1"/>
      <w:numFmt w:val="lowerRoman"/>
      <w:lvlText w:val="%3."/>
      <w:lvlJc w:val="right"/>
      <w:pPr>
        <w:ind w:left="2160" w:hanging="180"/>
      </w:pPr>
    </w:lvl>
    <w:lvl w:ilvl="3" w:tplc="C6E4B5F4" w:tentative="1">
      <w:start w:val="1"/>
      <w:numFmt w:val="decimal"/>
      <w:lvlText w:val="%4."/>
      <w:lvlJc w:val="left"/>
      <w:pPr>
        <w:ind w:left="2880" w:hanging="360"/>
      </w:pPr>
    </w:lvl>
    <w:lvl w:ilvl="4" w:tplc="E668CF7C" w:tentative="1">
      <w:start w:val="1"/>
      <w:numFmt w:val="lowerLetter"/>
      <w:lvlText w:val="%5."/>
      <w:lvlJc w:val="left"/>
      <w:pPr>
        <w:ind w:left="3600" w:hanging="360"/>
      </w:pPr>
    </w:lvl>
    <w:lvl w:ilvl="5" w:tplc="6DEC8838" w:tentative="1">
      <w:start w:val="1"/>
      <w:numFmt w:val="lowerRoman"/>
      <w:lvlText w:val="%6."/>
      <w:lvlJc w:val="right"/>
      <w:pPr>
        <w:ind w:left="4320" w:hanging="180"/>
      </w:pPr>
    </w:lvl>
    <w:lvl w:ilvl="6" w:tplc="3B6053EA" w:tentative="1">
      <w:start w:val="1"/>
      <w:numFmt w:val="decimal"/>
      <w:lvlText w:val="%7."/>
      <w:lvlJc w:val="left"/>
      <w:pPr>
        <w:ind w:left="5040" w:hanging="360"/>
      </w:pPr>
    </w:lvl>
    <w:lvl w:ilvl="7" w:tplc="D3E209C0" w:tentative="1">
      <w:start w:val="1"/>
      <w:numFmt w:val="lowerLetter"/>
      <w:lvlText w:val="%8."/>
      <w:lvlJc w:val="left"/>
      <w:pPr>
        <w:ind w:left="5760" w:hanging="360"/>
      </w:pPr>
    </w:lvl>
    <w:lvl w:ilvl="8" w:tplc="7E981EC4" w:tentative="1">
      <w:start w:val="1"/>
      <w:numFmt w:val="lowerRoman"/>
      <w:lvlText w:val="%9."/>
      <w:lvlJc w:val="right"/>
      <w:pPr>
        <w:ind w:left="6480" w:hanging="180"/>
      </w:pPr>
    </w:lvl>
  </w:abstractNum>
  <w:abstractNum w:abstractNumId="11" w15:restartNumberingAfterBreak="0">
    <w:nsid w:val="78D55E80"/>
    <w:multiLevelType w:val="hybridMultilevel"/>
    <w:tmpl w:val="A30A4604"/>
    <w:lvl w:ilvl="0" w:tplc="2BEA2924">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8"/>
  </w:num>
  <w:num w:numId="4">
    <w:abstractNumId w:val="9"/>
  </w:num>
  <w:num w:numId="5">
    <w:abstractNumId w:val="4"/>
  </w:num>
  <w:num w:numId="6">
    <w:abstractNumId w:val="7"/>
  </w:num>
  <w:num w:numId="7">
    <w:abstractNumId w:val="6"/>
  </w:num>
  <w:num w:numId="8">
    <w:abstractNumId w:val="5"/>
  </w:num>
  <w:num w:numId="9">
    <w:abstractNumId w:val="10"/>
  </w:num>
  <w:num w:numId="10">
    <w:abstractNumId w:val="0"/>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5B8"/>
    <w:rsid w:val="00057FC1"/>
    <w:rsid w:val="0007447A"/>
    <w:rsid w:val="00087E22"/>
    <w:rsid w:val="000922B8"/>
    <w:rsid w:val="000D54C1"/>
    <w:rsid w:val="00201D92"/>
    <w:rsid w:val="00231D16"/>
    <w:rsid w:val="002643EE"/>
    <w:rsid w:val="00272DF1"/>
    <w:rsid w:val="00283C2E"/>
    <w:rsid w:val="002D7145"/>
    <w:rsid w:val="002F10A2"/>
    <w:rsid w:val="002F7764"/>
    <w:rsid w:val="00327F79"/>
    <w:rsid w:val="00345C8A"/>
    <w:rsid w:val="003B7192"/>
    <w:rsid w:val="003D2F8F"/>
    <w:rsid w:val="003E75B8"/>
    <w:rsid w:val="00410776"/>
    <w:rsid w:val="00421A37"/>
    <w:rsid w:val="0043173B"/>
    <w:rsid w:val="00433F66"/>
    <w:rsid w:val="00492663"/>
    <w:rsid w:val="004B0D6E"/>
    <w:rsid w:val="004D5070"/>
    <w:rsid w:val="004E24CE"/>
    <w:rsid w:val="00540277"/>
    <w:rsid w:val="00561026"/>
    <w:rsid w:val="00584345"/>
    <w:rsid w:val="0058616A"/>
    <w:rsid w:val="005D4C2C"/>
    <w:rsid w:val="006A7071"/>
    <w:rsid w:val="006E4AB9"/>
    <w:rsid w:val="00710B64"/>
    <w:rsid w:val="00714CDD"/>
    <w:rsid w:val="00740980"/>
    <w:rsid w:val="00790A35"/>
    <w:rsid w:val="007A5A03"/>
    <w:rsid w:val="007B0685"/>
    <w:rsid w:val="00802CF0"/>
    <w:rsid w:val="00841E75"/>
    <w:rsid w:val="00842029"/>
    <w:rsid w:val="00842AAB"/>
    <w:rsid w:val="00866E06"/>
    <w:rsid w:val="0088107F"/>
    <w:rsid w:val="008E34BA"/>
    <w:rsid w:val="00903DD7"/>
    <w:rsid w:val="00917E7E"/>
    <w:rsid w:val="009B1754"/>
    <w:rsid w:val="00A1354A"/>
    <w:rsid w:val="00A145FD"/>
    <w:rsid w:val="00A27505"/>
    <w:rsid w:val="00A838DF"/>
    <w:rsid w:val="00A9565B"/>
    <w:rsid w:val="00B02581"/>
    <w:rsid w:val="00B246CA"/>
    <w:rsid w:val="00B46315"/>
    <w:rsid w:val="00BB3F87"/>
    <w:rsid w:val="00BC04C7"/>
    <w:rsid w:val="00BD2B0D"/>
    <w:rsid w:val="00C9377F"/>
    <w:rsid w:val="00D416DC"/>
    <w:rsid w:val="00D6229D"/>
    <w:rsid w:val="00D82DE8"/>
    <w:rsid w:val="00E0255F"/>
    <w:rsid w:val="00E637D6"/>
    <w:rsid w:val="00F768A4"/>
    <w:rsid w:val="00FE2730"/>
    <w:rsid w:val="00FF7C4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BBC4B1"/>
  <w15:chartTrackingRefBased/>
  <w15:docId w15:val="{B2DE9C13-40B9-4248-9041-9B09E73F7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E75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Normal 2,Main numbered paragraph,1.1.1_List Paragraph,List_Paragraph,Multilevel para_II,List Paragraph1,List Paragraph 1.1.1,Citation List,Resume Title,Riana Table Bullets 1,Bullet paras,ANNEX,Listenabsatz1"/>
    <w:basedOn w:val="Normal"/>
    <w:link w:val="ListParagraphChar"/>
    <w:uiPriority w:val="34"/>
    <w:qFormat/>
    <w:rsid w:val="003E75B8"/>
    <w:pPr>
      <w:ind w:left="720"/>
      <w:contextualSpacing/>
    </w:pPr>
  </w:style>
  <w:style w:type="paragraph" w:styleId="FootnoteText">
    <w:name w:val="footnote text"/>
    <w:aliases w:val=" Char,Char,DSE note,FOOTNOTES,Footnote Text Char Char,Footnote Text Char1,Footnote Text Char1 Char Char,Footnote Text Char1 Char Char Char Char,Footnote Text Char2 Char,Footnote Text Char2 Char Char Char,f,fn,footnote text,ft,single space"/>
    <w:basedOn w:val="Normal"/>
    <w:link w:val="FootnoteTextChar"/>
    <w:uiPriority w:val="99"/>
    <w:unhideWhenUsed/>
    <w:qFormat/>
    <w:rsid w:val="003E75B8"/>
    <w:pPr>
      <w:spacing w:after="0" w:line="240" w:lineRule="auto"/>
    </w:pPr>
    <w:rPr>
      <w:sz w:val="20"/>
      <w:szCs w:val="20"/>
    </w:rPr>
  </w:style>
  <w:style w:type="character" w:customStyle="1" w:styleId="FootnoteTextChar">
    <w:name w:val="Footnote Text Char"/>
    <w:aliases w:val=" Char Char,Char Char,DSE note Char,FOOTNOTES Char,Footnote Text Char Char Char,Footnote Text Char1 Char,Footnote Text Char1 Char Char Char,Footnote Text Char1 Char Char Char Char Char,Footnote Text Char2 Char Char,f Char,fn Char"/>
    <w:basedOn w:val="DefaultParagraphFont"/>
    <w:link w:val="FootnoteText"/>
    <w:uiPriority w:val="99"/>
    <w:qFormat/>
    <w:rsid w:val="003E75B8"/>
    <w:rPr>
      <w:sz w:val="20"/>
      <w:szCs w:val="20"/>
    </w:rPr>
  </w:style>
  <w:style w:type="character" w:styleId="FootnoteReference">
    <w:name w:val="footnote reference"/>
    <w:aliases w:val=" BVI fnr,10 pt,BVI fnr,Error-Fußnotenzeichen3,Error-Fußnotenzeichen5,Error-Fußnotenzeichen6,Footnote + Arial,Footnote Reference Number,Footnote Reference1,Footnote Reference_LVL6,Footnote Reference_LVL61,Footnote Reference_LVL62,ftref"/>
    <w:basedOn w:val="DefaultParagraphFont"/>
    <w:link w:val="16PointChar"/>
    <w:uiPriority w:val="99"/>
    <w:unhideWhenUsed/>
    <w:qFormat/>
    <w:rsid w:val="003E75B8"/>
    <w:rPr>
      <w:vertAlign w:val="superscript"/>
    </w:rPr>
  </w:style>
  <w:style w:type="character" w:styleId="Hyperlink">
    <w:name w:val="Hyperlink"/>
    <w:basedOn w:val="DefaultParagraphFont"/>
    <w:uiPriority w:val="99"/>
    <w:unhideWhenUsed/>
    <w:rsid w:val="003E75B8"/>
    <w:rPr>
      <w:color w:val="0563C1" w:themeColor="hyperlink"/>
      <w:u w:val="single"/>
    </w:rPr>
  </w:style>
  <w:style w:type="character" w:customStyle="1" w:styleId="ListParagraphChar">
    <w:name w:val="List Paragraph Char"/>
    <w:aliases w:val="List Paragraph (numbered (a)) Char,Normal 2 Char,Main numbered paragraph Char,1.1.1_List Paragraph Char,List_Paragraph Char,Multilevel para_II Char,List Paragraph1 Char,List Paragraph 1.1.1 Char,Citation List Char,Resume Title Char"/>
    <w:basedOn w:val="DefaultParagraphFont"/>
    <w:link w:val="ListParagraph"/>
    <w:uiPriority w:val="34"/>
    <w:qFormat/>
    <w:rsid w:val="003E75B8"/>
  </w:style>
  <w:style w:type="paragraph" w:styleId="BalloonText">
    <w:name w:val="Balloon Text"/>
    <w:basedOn w:val="Normal"/>
    <w:link w:val="BalloonTextChar"/>
    <w:uiPriority w:val="99"/>
    <w:semiHidden/>
    <w:unhideWhenUsed/>
    <w:rsid w:val="006E4A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AB9"/>
    <w:rPr>
      <w:rFonts w:ascii="Segoe UI" w:hAnsi="Segoe UI" w:cs="Segoe UI"/>
      <w:sz w:val="18"/>
      <w:szCs w:val="18"/>
    </w:rPr>
  </w:style>
  <w:style w:type="paragraph" w:customStyle="1" w:styleId="16PointChar">
    <w:name w:val="16 Point Char"/>
    <w:aliases w:val="4_G,BVI fnr Car Car Char Char Char,BVI fnr Char,BVI fnr Char Char Char,Footnote Reference Number Char,Normal + Font:9 Point Char,Ref,Superscript 3 Point Times Char,Superscript 6 Point Char,footnote number Char Char Char Char,ftref Char"/>
    <w:basedOn w:val="Normal"/>
    <w:next w:val="Normal"/>
    <w:link w:val="FootnoteReference"/>
    <w:uiPriority w:val="99"/>
    <w:rsid w:val="00087E22"/>
    <w:pPr>
      <w:spacing w:line="240" w:lineRule="exact"/>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bb.org.bd/econdata/w_avg_interest.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4A3277B7707A48B0E1B9AC835E8163" ma:contentTypeVersion="13" ma:contentTypeDescription="Create a new document." ma:contentTypeScope="" ma:versionID="d2927d061312bc63475a1cde230a78ce">
  <xsd:schema xmlns:xsd="http://www.w3.org/2001/XMLSchema" xmlns:xs="http://www.w3.org/2001/XMLSchema" xmlns:p="http://schemas.microsoft.com/office/2006/metadata/properties" xmlns:ns3="aa3449fd-d373-417f-9c8d-cf261ce8b785" xmlns:ns4="eda4fd43-f936-4ced-9b4a-46c1ef7d5473" targetNamespace="http://schemas.microsoft.com/office/2006/metadata/properties" ma:root="true" ma:fieldsID="228f7ea1ee3b1f7606ebf1976bb96423" ns3:_="" ns4:_="">
    <xsd:import namespace="aa3449fd-d373-417f-9c8d-cf261ce8b785"/>
    <xsd:import namespace="eda4fd43-f936-4ced-9b4a-46c1ef7d54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449fd-d373-417f-9c8d-cf261ce8b7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a4fd43-f936-4ced-9b4a-46c1ef7d547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0AF71D-B8A0-465E-B514-986B2514A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449fd-d373-417f-9c8d-cf261ce8b785"/>
    <ds:schemaRef ds:uri="eda4fd43-f936-4ced-9b4a-46c1ef7d5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F99EBA-F919-408B-AF0C-130E4746EA6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2A8503B-BB3E-4C23-8417-057EFEEF42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3186</Words>
  <Characters>18161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Rokeya Ahmed</dc:creator>
  <cp:keywords/>
  <dc:description/>
  <cp:lastModifiedBy>Rokeya Ahmed</cp:lastModifiedBy>
  <cp:revision>4</cp:revision>
  <dcterms:created xsi:type="dcterms:W3CDTF">2020-08-24T08:05:00Z</dcterms:created>
  <dcterms:modified xsi:type="dcterms:W3CDTF">2020-08-24T08:33:00Z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0x010100884A3277B7707A48B0E1B9AC835E8163</vt:lpwstr>
  </property>
</Properties>
</file>